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EFC" w:rsidRPr="00314875" w:rsidRDefault="00CE1E86" w:rsidP="00CE1E86">
      <w:pPr>
        <w:autoSpaceDE w:val="0"/>
        <w:autoSpaceDN w:val="0"/>
        <w:adjustRightInd w:val="0"/>
        <w:spacing w:after="0" w:line="240" w:lineRule="auto"/>
        <w:jc w:val="center"/>
        <w:rPr>
          <w:rFonts w:ascii="Times New Roman" w:hAnsi="Times New Roman" w:cs="Times New Roman"/>
          <w:b/>
          <w:color w:val="000000" w:themeColor="text1"/>
          <w:sz w:val="28"/>
          <w:szCs w:val="28"/>
          <w:lang w:val="ro-RO"/>
        </w:rPr>
      </w:pPr>
      <w:r w:rsidRPr="00314875">
        <w:rPr>
          <w:rFonts w:ascii="Times New Roman" w:hAnsi="Times New Roman" w:cs="Times New Roman"/>
          <w:b/>
          <w:color w:val="000000" w:themeColor="text1"/>
          <w:sz w:val="28"/>
          <w:szCs w:val="28"/>
          <w:lang w:val="ro-RO"/>
        </w:rPr>
        <w:t>CALITATEA ACTIVELOR BANCARE</w:t>
      </w:r>
      <w:r w:rsidR="00874FEA">
        <w:rPr>
          <w:rFonts w:ascii="Times New Roman" w:hAnsi="Times New Roman" w:cs="Times New Roman"/>
          <w:b/>
          <w:color w:val="000000" w:themeColor="text1"/>
          <w:sz w:val="28"/>
          <w:szCs w:val="28"/>
          <w:lang w:val="ro-RO"/>
        </w:rPr>
        <w:t>.CREDITELE NEPERFORMANTE ÎN ROMÂNIA</w:t>
      </w:r>
    </w:p>
    <w:p w:rsidR="000E18E4" w:rsidRDefault="000E18E4" w:rsidP="000E18E4">
      <w:pPr>
        <w:autoSpaceDE w:val="0"/>
        <w:autoSpaceDN w:val="0"/>
        <w:adjustRightInd w:val="0"/>
        <w:spacing w:after="0" w:line="240" w:lineRule="auto"/>
        <w:jc w:val="center"/>
        <w:rPr>
          <w:rFonts w:ascii="Times New Roman" w:hAnsi="Times New Roman" w:cs="Times New Roman"/>
          <w:color w:val="000000" w:themeColor="text1"/>
          <w:sz w:val="24"/>
          <w:szCs w:val="24"/>
          <w:lang w:val="ro-RO"/>
        </w:rPr>
      </w:pPr>
    </w:p>
    <w:p w:rsidR="00FA6815" w:rsidRPr="000E18E4" w:rsidRDefault="00FA6815" w:rsidP="000E18E4">
      <w:pPr>
        <w:autoSpaceDE w:val="0"/>
        <w:autoSpaceDN w:val="0"/>
        <w:adjustRightInd w:val="0"/>
        <w:spacing w:after="0" w:line="240" w:lineRule="auto"/>
        <w:jc w:val="center"/>
        <w:rPr>
          <w:rFonts w:ascii="Times New Roman" w:hAnsi="Times New Roman" w:cs="Times New Roman"/>
          <w:color w:val="000000" w:themeColor="text1"/>
          <w:sz w:val="24"/>
          <w:szCs w:val="24"/>
          <w:lang w:val="ro-RO"/>
        </w:rPr>
      </w:pPr>
    </w:p>
    <w:p w:rsidR="000E18E4" w:rsidRPr="000E18E4" w:rsidRDefault="000E18E4" w:rsidP="0047645F">
      <w:pPr>
        <w:autoSpaceDE w:val="0"/>
        <w:autoSpaceDN w:val="0"/>
        <w:adjustRightInd w:val="0"/>
        <w:spacing w:after="0" w:line="240" w:lineRule="auto"/>
        <w:jc w:val="both"/>
        <w:rPr>
          <w:rFonts w:ascii="Times New Roman" w:hAnsi="Times New Roman" w:cs="Times New Roman"/>
          <w:b/>
          <w:i/>
          <w:color w:val="000000" w:themeColor="text1"/>
          <w:sz w:val="20"/>
          <w:szCs w:val="20"/>
          <w:lang w:val="ro-RO"/>
        </w:rPr>
      </w:pPr>
      <w:r w:rsidRPr="00314875">
        <w:rPr>
          <w:rFonts w:ascii="Times New Roman" w:hAnsi="Times New Roman" w:cs="Times New Roman"/>
          <w:b/>
          <w:color w:val="000000" w:themeColor="text1"/>
          <w:sz w:val="20"/>
          <w:szCs w:val="20"/>
          <w:lang w:val="ro-RO"/>
        </w:rPr>
        <w:t>Abstract:</w:t>
      </w:r>
      <w:r w:rsidRPr="000E18E4">
        <w:rPr>
          <w:rFonts w:ascii="Times New Roman" w:hAnsi="Times New Roman" w:cs="Times New Roman"/>
          <w:b/>
          <w:i/>
          <w:color w:val="000000" w:themeColor="text1"/>
          <w:sz w:val="20"/>
          <w:szCs w:val="20"/>
          <w:lang w:val="ro-RO"/>
        </w:rPr>
        <w:t xml:space="preserve"> </w:t>
      </w:r>
      <w:r w:rsidR="0071792D" w:rsidRPr="00314875">
        <w:rPr>
          <w:rFonts w:ascii="Times New Roman" w:hAnsi="Times New Roman" w:cs="Times New Roman"/>
          <w:i/>
          <w:color w:val="000000" w:themeColor="text1"/>
          <w:sz w:val="20"/>
          <w:szCs w:val="20"/>
          <w:lang w:val="ro-RO"/>
        </w:rPr>
        <w:t>Importanța existenței unui volum cât mai mic de credite neperformante derivă din rolul și funcțiile pe care băncile le au în viața economică unei țări.</w:t>
      </w:r>
      <w:r w:rsidR="00530628" w:rsidRPr="00530628">
        <w:rPr>
          <w:rFonts w:ascii="Times New Roman" w:hAnsi="Times New Roman" w:cs="Times New Roman"/>
          <w:i/>
          <w:color w:val="000000" w:themeColor="text1"/>
          <w:sz w:val="20"/>
          <w:szCs w:val="20"/>
          <w:lang w:val="ro-RO"/>
        </w:rPr>
        <w:t xml:space="preserve"> </w:t>
      </w:r>
      <w:r w:rsidR="00517270">
        <w:rPr>
          <w:rFonts w:ascii="Times New Roman" w:hAnsi="Times New Roman" w:cs="Times New Roman"/>
          <w:i/>
          <w:color w:val="000000" w:themeColor="text1"/>
          <w:sz w:val="20"/>
          <w:szCs w:val="20"/>
          <w:lang w:val="ro-RO"/>
        </w:rPr>
        <w:t>Tocmai de aceea g</w:t>
      </w:r>
      <w:r w:rsidR="00517270" w:rsidRPr="00517270">
        <w:rPr>
          <w:rFonts w:ascii="Times New Roman" w:hAnsi="Times New Roman" w:cs="Times New Roman"/>
          <w:i/>
          <w:color w:val="000000" w:themeColor="text1"/>
          <w:sz w:val="20"/>
          <w:szCs w:val="20"/>
          <w:lang w:val="ro-RO"/>
        </w:rPr>
        <w:t>estiunea bancară se bazează pe analiza următorilor indicatori: Capital</w:t>
      </w:r>
      <w:r w:rsidR="00517270">
        <w:rPr>
          <w:rFonts w:ascii="Times New Roman" w:hAnsi="Times New Roman" w:cs="Times New Roman"/>
          <w:i/>
          <w:color w:val="000000" w:themeColor="text1"/>
          <w:sz w:val="20"/>
          <w:szCs w:val="20"/>
          <w:lang w:val="ro-RO"/>
        </w:rPr>
        <w:t>,</w:t>
      </w:r>
      <w:r w:rsidR="00517270" w:rsidRPr="00517270">
        <w:rPr>
          <w:rFonts w:ascii="Times New Roman" w:hAnsi="Times New Roman" w:cs="Times New Roman"/>
          <w:i/>
          <w:color w:val="000000" w:themeColor="text1"/>
          <w:sz w:val="20"/>
          <w:szCs w:val="20"/>
          <w:lang w:val="ro-RO"/>
        </w:rPr>
        <w:t xml:space="preserve"> </w:t>
      </w:r>
      <w:r w:rsidR="00517270">
        <w:rPr>
          <w:rFonts w:ascii="Times New Roman" w:hAnsi="Times New Roman" w:cs="Times New Roman"/>
          <w:i/>
          <w:color w:val="000000" w:themeColor="text1"/>
          <w:sz w:val="20"/>
          <w:szCs w:val="20"/>
          <w:lang w:val="ro-RO"/>
        </w:rPr>
        <w:t>Assets,</w:t>
      </w:r>
      <w:r w:rsidR="00517270" w:rsidRPr="00517270">
        <w:rPr>
          <w:rFonts w:ascii="Times New Roman" w:hAnsi="Times New Roman" w:cs="Times New Roman"/>
          <w:i/>
          <w:color w:val="000000" w:themeColor="text1"/>
          <w:sz w:val="20"/>
          <w:szCs w:val="20"/>
          <w:lang w:val="ro-RO"/>
        </w:rPr>
        <w:t>Management</w:t>
      </w:r>
      <w:r w:rsidR="00517270">
        <w:rPr>
          <w:rFonts w:ascii="Times New Roman" w:hAnsi="Times New Roman" w:cs="Times New Roman"/>
          <w:i/>
          <w:color w:val="000000" w:themeColor="text1"/>
          <w:sz w:val="20"/>
          <w:szCs w:val="20"/>
          <w:lang w:val="ro-RO"/>
        </w:rPr>
        <w:t>,</w:t>
      </w:r>
      <w:r w:rsidR="00517270" w:rsidRPr="00517270">
        <w:rPr>
          <w:rFonts w:ascii="Times New Roman" w:hAnsi="Times New Roman" w:cs="Times New Roman"/>
          <w:i/>
          <w:color w:val="000000" w:themeColor="text1"/>
          <w:sz w:val="20"/>
          <w:szCs w:val="20"/>
          <w:lang w:val="ro-RO"/>
        </w:rPr>
        <w:t xml:space="preserve"> Earnings</w:t>
      </w:r>
      <w:r w:rsidR="00517270">
        <w:rPr>
          <w:rFonts w:ascii="Times New Roman" w:hAnsi="Times New Roman" w:cs="Times New Roman"/>
          <w:i/>
          <w:color w:val="000000" w:themeColor="text1"/>
          <w:sz w:val="20"/>
          <w:szCs w:val="20"/>
          <w:lang w:val="ro-RO"/>
        </w:rPr>
        <w:t xml:space="preserve"> și Liquidity</w:t>
      </w:r>
      <w:r w:rsidR="00517270" w:rsidRPr="00517270">
        <w:rPr>
          <w:rFonts w:ascii="Times New Roman" w:hAnsi="Times New Roman" w:cs="Times New Roman"/>
          <w:i/>
          <w:color w:val="000000" w:themeColor="text1"/>
          <w:sz w:val="20"/>
          <w:szCs w:val="20"/>
          <w:lang w:val="ro-RO"/>
        </w:rPr>
        <w:t>.</w:t>
      </w:r>
      <w:r w:rsidR="00517270" w:rsidRPr="00517270">
        <w:t xml:space="preserve"> </w:t>
      </w:r>
      <w:r w:rsidR="00517270">
        <w:rPr>
          <w:rFonts w:ascii="Times New Roman" w:hAnsi="Times New Roman" w:cs="Times New Roman"/>
          <w:i/>
          <w:color w:val="000000" w:themeColor="text1"/>
          <w:sz w:val="20"/>
          <w:szCs w:val="20"/>
          <w:lang w:val="ro-RO"/>
        </w:rPr>
        <w:t>I</w:t>
      </w:r>
      <w:r w:rsidR="00517270" w:rsidRPr="00517270">
        <w:rPr>
          <w:rFonts w:ascii="Times New Roman" w:hAnsi="Times New Roman" w:cs="Times New Roman"/>
          <w:i/>
          <w:color w:val="000000" w:themeColor="text1"/>
          <w:sz w:val="20"/>
          <w:szCs w:val="20"/>
          <w:lang w:val="ro-RO"/>
        </w:rPr>
        <w:t>ndicatori</w:t>
      </w:r>
      <w:r w:rsidR="00517270">
        <w:rPr>
          <w:rFonts w:ascii="Times New Roman" w:hAnsi="Times New Roman" w:cs="Times New Roman"/>
          <w:i/>
          <w:color w:val="000000" w:themeColor="text1"/>
          <w:sz w:val="20"/>
          <w:szCs w:val="20"/>
          <w:lang w:val="ro-RO"/>
        </w:rPr>
        <w:t>i</w:t>
      </w:r>
      <w:r w:rsidR="00517270" w:rsidRPr="00517270">
        <w:rPr>
          <w:rFonts w:ascii="Times New Roman" w:hAnsi="Times New Roman" w:cs="Times New Roman"/>
          <w:i/>
          <w:color w:val="000000" w:themeColor="text1"/>
          <w:sz w:val="20"/>
          <w:szCs w:val="20"/>
          <w:lang w:val="ro-RO"/>
        </w:rPr>
        <w:t xml:space="preserve"> de </w:t>
      </w:r>
      <w:r w:rsidR="00517270">
        <w:rPr>
          <w:rFonts w:ascii="Times New Roman" w:hAnsi="Times New Roman" w:cs="Times New Roman"/>
          <w:i/>
          <w:color w:val="000000" w:themeColor="text1"/>
          <w:sz w:val="20"/>
          <w:szCs w:val="20"/>
          <w:lang w:val="ro-RO"/>
        </w:rPr>
        <w:t>risc bancar, în accepțiunea EBA</w:t>
      </w:r>
      <w:r w:rsidR="00517270" w:rsidRPr="00517270">
        <w:rPr>
          <w:rFonts w:ascii="Times New Roman" w:hAnsi="Times New Roman" w:cs="Times New Roman"/>
          <w:i/>
          <w:color w:val="000000" w:themeColor="text1"/>
          <w:sz w:val="20"/>
          <w:szCs w:val="20"/>
          <w:lang w:val="ro-RO"/>
        </w:rPr>
        <w:t>: riscurile de capital, riscurile de lichiditate și finanțare și riscurile mediului înconjurător</w:t>
      </w:r>
      <w:r w:rsidR="00DE78D7">
        <w:rPr>
          <w:rFonts w:ascii="Times New Roman" w:hAnsi="Times New Roman" w:cs="Times New Roman"/>
          <w:i/>
          <w:color w:val="000000" w:themeColor="text1"/>
          <w:sz w:val="20"/>
          <w:szCs w:val="20"/>
          <w:lang w:val="ro-RO"/>
        </w:rPr>
        <w:t xml:space="preserve"> </w:t>
      </w:r>
      <w:r w:rsidR="00517270">
        <w:rPr>
          <w:rFonts w:ascii="Times New Roman" w:hAnsi="Times New Roman" w:cs="Times New Roman"/>
          <w:i/>
          <w:color w:val="000000" w:themeColor="text1"/>
          <w:sz w:val="20"/>
          <w:szCs w:val="20"/>
          <w:lang w:val="ro-RO"/>
        </w:rPr>
        <w:t>sunt calculați și urmăriți mai mult decât oricând.</w:t>
      </w:r>
      <w:r w:rsidR="00530628">
        <w:rPr>
          <w:rFonts w:ascii="Times New Roman" w:hAnsi="Times New Roman" w:cs="Times New Roman"/>
          <w:i/>
          <w:color w:val="000000" w:themeColor="text1"/>
          <w:sz w:val="20"/>
          <w:szCs w:val="20"/>
          <w:lang w:val="ro-RO"/>
        </w:rPr>
        <w:t>Î</w:t>
      </w:r>
      <w:r w:rsidR="00530628" w:rsidRPr="00530628">
        <w:rPr>
          <w:rFonts w:ascii="Times New Roman" w:hAnsi="Times New Roman" w:cs="Times New Roman"/>
          <w:i/>
          <w:color w:val="000000" w:themeColor="text1"/>
          <w:sz w:val="20"/>
          <w:szCs w:val="20"/>
          <w:lang w:val="ro-RO"/>
        </w:rPr>
        <w:t>n această lucrare se analizează evoluția creditelor neperfomante în sectorul bancar române</w:t>
      </w:r>
      <w:r w:rsidR="00DE78D7">
        <w:rPr>
          <w:rFonts w:ascii="Times New Roman" w:hAnsi="Times New Roman" w:cs="Times New Roman"/>
          <w:i/>
          <w:color w:val="000000" w:themeColor="text1"/>
          <w:sz w:val="20"/>
          <w:szCs w:val="20"/>
          <w:lang w:val="ro-RO"/>
        </w:rPr>
        <w:t>sc în perioada 2010-2017.Se identifică</w:t>
      </w:r>
      <w:r w:rsidR="00530628" w:rsidRPr="00530628">
        <w:rPr>
          <w:rFonts w:ascii="Times New Roman" w:hAnsi="Times New Roman" w:cs="Times New Roman"/>
          <w:i/>
          <w:color w:val="000000" w:themeColor="text1"/>
          <w:sz w:val="20"/>
          <w:szCs w:val="20"/>
          <w:lang w:val="ro-RO"/>
        </w:rPr>
        <w:t>, empiric,</w:t>
      </w:r>
      <w:r w:rsidR="00DE78D7">
        <w:rPr>
          <w:rFonts w:ascii="Times New Roman" w:hAnsi="Times New Roman" w:cs="Times New Roman"/>
          <w:i/>
          <w:color w:val="000000" w:themeColor="text1"/>
          <w:sz w:val="20"/>
          <w:szCs w:val="20"/>
          <w:lang w:val="ro-RO"/>
        </w:rPr>
        <w:t xml:space="preserve"> </w:t>
      </w:r>
      <w:r w:rsidR="00BF44A1">
        <w:rPr>
          <w:rFonts w:ascii="Times New Roman" w:hAnsi="Times New Roman" w:cs="Times New Roman"/>
          <w:i/>
          <w:color w:val="000000" w:themeColor="text1"/>
          <w:sz w:val="20"/>
          <w:szCs w:val="20"/>
          <w:lang w:val="ro-RO"/>
        </w:rPr>
        <w:t>cauzele apariției creditelor neperformante și</w:t>
      </w:r>
      <w:r w:rsidR="00530628" w:rsidRPr="00530628">
        <w:rPr>
          <w:rFonts w:ascii="Times New Roman" w:hAnsi="Times New Roman" w:cs="Times New Roman"/>
          <w:i/>
          <w:color w:val="000000" w:themeColor="text1"/>
          <w:sz w:val="20"/>
          <w:szCs w:val="20"/>
          <w:lang w:val="ro-RO"/>
        </w:rPr>
        <w:t xml:space="preserve"> date</w:t>
      </w:r>
      <w:r w:rsidR="00BF44A1">
        <w:rPr>
          <w:rFonts w:ascii="Times New Roman" w:hAnsi="Times New Roman" w:cs="Times New Roman"/>
          <w:i/>
          <w:color w:val="000000" w:themeColor="text1"/>
          <w:sz w:val="20"/>
          <w:szCs w:val="20"/>
          <w:lang w:val="ro-RO"/>
        </w:rPr>
        <w:t>le</w:t>
      </w:r>
      <w:r w:rsidR="00530628" w:rsidRPr="00530628">
        <w:rPr>
          <w:rFonts w:ascii="Times New Roman" w:hAnsi="Times New Roman" w:cs="Times New Roman"/>
          <w:i/>
          <w:color w:val="000000" w:themeColor="text1"/>
          <w:sz w:val="20"/>
          <w:szCs w:val="20"/>
          <w:lang w:val="ro-RO"/>
        </w:rPr>
        <w:t xml:space="preserve"> concrete care să ne ajute a demonstra cele arătate mai sus.</w:t>
      </w:r>
    </w:p>
    <w:p w:rsidR="0071792D" w:rsidRDefault="0071792D" w:rsidP="000E18E4">
      <w:pPr>
        <w:autoSpaceDE w:val="0"/>
        <w:autoSpaceDN w:val="0"/>
        <w:adjustRightInd w:val="0"/>
        <w:spacing w:after="0" w:line="240" w:lineRule="auto"/>
        <w:jc w:val="both"/>
        <w:rPr>
          <w:rFonts w:ascii="Times New Roman" w:hAnsi="Times New Roman" w:cs="Times New Roman"/>
          <w:b/>
          <w:i/>
          <w:color w:val="000000" w:themeColor="text1"/>
          <w:sz w:val="20"/>
          <w:szCs w:val="20"/>
          <w:lang w:val="ro-RO"/>
        </w:rPr>
      </w:pPr>
    </w:p>
    <w:p w:rsidR="00CE1E86" w:rsidRDefault="000E18E4" w:rsidP="000E18E4">
      <w:pPr>
        <w:autoSpaceDE w:val="0"/>
        <w:autoSpaceDN w:val="0"/>
        <w:adjustRightInd w:val="0"/>
        <w:spacing w:after="0" w:line="240" w:lineRule="auto"/>
        <w:jc w:val="both"/>
        <w:rPr>
          <w:rFonts w:ascii="Times New Roman" w:hAnsi="Times New Roman" w:cs="Times New Roman"/>
          <w:b/>
          <w:color w:val="000000" w:themeColor="text1"/>
          <w:sz w:val="24"/>
          <w:szCs w:val="24"/>
          <w:lang w:val="ro-RO"/>
        </w:rPr>
      </w:pPr>
      <w:r w:rsidRPr="00314875">
        <w:rPr>
          <w:rFonts w:ascii="Times New Roman" w:hAnsi="Times New Roman" w:cs="Times New Roman"/>
          <w:b/>
          <w:color w:val="000000" w:themeColor="text1"/>
          <w:sz w:val="20"/>
          <w:szCs w:val="20"/>
          <w:lang w:val="ro-RO"/>
        </w:rPr>
        <w:t>Key words:</w:t>
      </w:r>
      <w:r w:rsidR="00DE78D7">
        <w:rPr>
          <w:rFonts w:ascii="Times New Roman" w:hAnsi="Times New Roman" w:cs="Times New Roman"/>
          <w:b/>
          <w:color w:val="000000" w:themeColor="text1"/>
          <w:sz w:val="20"/>
          <w:szCs w:val="20"/>
          <w:lang w:val="ro-RO"/>
        </w:rPr>
        <w:t xml:space="preserve"> </w:t>
      </w:r>
      <w:r w:rsidR="00DE78D7" w:rsidRPr="00DE78D7">
        <w:rPr>
          <w:rFonts w:ascii="Times New Roman" w:hAnsi="Times New Roman" w:cs="Times New Roman"/>
          <w:i/>
          <w:color w:val="000000" w:themeColor="text1"/>
          <w:sz w:val="20"/>
          <w:szCs w:val="20"/>
          <w:lang w:val="ro-RO"/>
        </w:rPr>
        <w:t>calitatea activelor,</w:t>
      </w:r>
      <w:r w:rsidRPr="000E18E4">
        <w:rPr>
          <w:rFonts w:ascii="Times New Roman" w:hAnsi="Times New Roman" w:cs="Times New Roman"/>
          <w:b/>
          <w:color w:val="000000" w:themeColor="text1"/>
          <w:sz w:val="24"/>
          <w:szCs w:val="24"/>
          <w:lang w:val="ro-RO"/>
        </w:rPr>
        <w:t xml:space="preserve"> </w:t>
      </w:r>
      <w:r w:rsidR="0071792D" w:rsidRPr="0071792D">
        <w:rPr>
          <w:rFonts w:ascii="Times New Roman" w:hAnsi="Times New Roman" w:cs="Times New Roman"/>
          <w:i/>
          <w:color w:val="000000" w:themeColor="text1"/>
          <w:sz w:val="20"/>
          <w:szCs w:val="20"/>
          <w:lang w:val="ro-RO"/>
        </w:rPr>
        <w:t>credite neperformante,</w:t>
      </w:r>
      <w:r w:rsidR="00DE78D7">
        <w:rPr>
          <w:rFonts w:ascii="Times New Roman" w:hAnsi="Times New Roman" w:cs="Times New Roman"/>
          <w:i/>
          <w:color w:val="000000" w:themeColor="text1"/>
          <w:sz w:val="20"/>
          <w:szCs w:val="20"/>
          <w:lang w:val="ro-RO"/>
        </w:rPr>
        <w:t xml:space="preserve"> riscul de creditare, gestiune bancară</w:t>
      </w:r>
      <w:r w:rsidR="0071792D">
        <w:rPr>
          <w:rFonts w:ascii="Times New Roman" w:hAnsi="Times New Roman" w:cs="Times New Roman"/>
          <w:b/>
          <w:color w:val="000000" w:themeColor="text1"/>
          <w:sz w:val="24"/>
          <w:szCs w:val="24"/>
          <w:lang w:val="ro-RO"/>
        </w:rPr>
        <w:t xml:space="preserve"> </w:t>
      </w:r>
    </w:p>
    <w:p w:rsidR="0071792D" w:rsidRDefault="0071792D" w:rsidP="000E18E4">
      <w:pPr>
        <w:autoSpaceDE w:val="0"/>
        <w:autoSpaceDN w:val="0"/>
        <w:adjustRightInd w:val="0"/>
        <w:spacing w:after="0" w:line="240" w:lineRule="auto"/>
        <w:jc w:val="both"/>
        <w:rPr>
          <w:rFonts w:ascii="Times New Roman" w:hAnsi="Times New Roman" w:cs="Times New Roman"/>
          <w:b/>
          <w:i/>
          <w:color w:val="000000" w:themeColor="text1"/>
          <w:sz w:val="20"/>
          <w:szCs w:val="20"/>
          <w:lang w:val="ro-RO"/>
        </w:rPr>
      </w:pPr>
    </w:p>
    <w:p w:rsidR="000E18E4" w:rsidRPr="00314875" w:rsidRDefault="0071792D" w:rsidP="000E18E4">
      <w:pPr>
        <w:autoSpaceDE w:val="0"/>
        <w:autoSpaceDN w:val="0"/>
        <w:adjustRightInd w:val="0"/>
        <w:spacing w:after="0" w:line="240" w:lineRule="auto"/>
        <w:jc w:val="both"/>
        <w:rPr>
          <w:rFonts w:ascii="Times New Roman" w:hAnsi="Times New Roman" w:cs="Times New Roman"/>
          <w:b/>
          <w:color w:val="000000" w:themeColor="text1"/>
          <w:sz w:val="20"/>
          <w:szCs w:val="20"/>
          <w:lang w:val="ro-RO"/>
        </w:rPr>
      </w:pPr>
      <w:r w:rsidRPr="00314875">
        <w:rPr>
          <w:rFonts w:ascii="Times New Roman" w:hAnsi="Times New Roman" w:cs="Times New Roman"/>
          <w:b/>
          <w:color w:val="000000" w:themeColor="text1"/>
          <w:sz w:val="20"/>
          <w:szCs w:val="20"/>
          <w:lang w:val="ro-RO"/>
        </w:rPr>
        <w:t>JEL</w:t>
      </w:r>
      <w:r w:rsidR="009205E8">
        <w:rPr>
          <w:rFonts w:ascii="Times New Roman" w:hAnsi="Times New Roman" w:cs="Times New Roman"/>
          <w:b/>
          <w:color w:val="000000" w:themeColor="text1"/>
          <w:sz w:val="20"/>
          <w:szCs w:val="20"/>
          <w:lang w:val="ro-RO"/>
        </w:rPr>
        <w:t xml:space="preserve"> </w:t>
      </w:r>
      <w:r w:rsidR="00314875" w:rsidRPr="00314875">
        <w:rPr>
          <w:rFonts w:ascii="Times New Roman" w:hAnsi="Times New Roman" w:cs="Times New Roman"/>
          <w:b/>
          <w:sz w:val="20"/>
          <w:szCs w:val="20"/>
        </w:rPr>
        <w:t>classification:</w:t>
      </w:r>
      <w:r w:rsidR="00AB066D">
        <w:rPr>
          <w:rFonts w:ascii="Times New Roman" w:hAnsi="Times New Roman" w:cs="Times New Roman"/>
          <w:b/>
          <w:sz w:val="20"/>
          <w:szCs w:val="20"/>
        </w:rPr>
        <w:t xml:space="preserve"> G21, G32</w:t>
      </w:r>
    </w:p>
    <w:p w:rsidR="0071792D" w:rsidRDefault="0071792D" w:rsidP="002F6A1E">
      <w:pPr>
        <w:autoSpaceDE w:val="0"/>
        <w:autoSpaceDN w:val="0"/>
        <w:adjustRightInd w:val="0"/>
        <w:spacing w:after="0" w:line="240" w:lineRule="auto"/>
        <w:jc w:val="both"/>
        <w:rPr>
          <w:rFonts w:ascii="Times New Roman" w:hAnsi="Times New Roman" w:cs="Times New Roman"/>
          <w:b/>
          <w:color w:val="000000" w:themeColor="text1"/>
          <w:sz w:val="24"/>
          <w:szCs w:val="24"/>
          <w:lang w:val="ro-RO"/>
        </w:rPr>
      </w:pPr>
    </w:p>
    <w:p w:rsidR="0071792D" w:rsidRDefault="0071792D" w:rsidP="002F6A1E">
      <w:pPr>
        <w:autoSpaceDE w:val="0"/>
        <w:autoSpaceDN w:val="0"/>
        <w:adjustRightInd w:val="0"/>
        <w:spacing w:after="0" w:line="240" w:lineRule="auto"/>
        <w:jc w:val="both"/>
        <w:rPr>
          <w:rFonts w:ascii="Times New Roman" w:hAnsi="Times New Roman" w:cs="Times New Roman"/>
          <w:b/>
          <w:color w:val="000000" w:themeColor="text1"/>
          <w:sz w:val="24"/>
          <w:szCs w:val="24"/>
          <w:lang w:val="ro-RO"/>
        </w:rPr>
      </w:pPr>
    </w:p>
    <w:p w:rsidR="00547708" w:rsidRPr="0071792D" w:rsidRDefault="00CA60B1" w:rsidP="00547708">
      <w:pPr>
        <w:autoSpaceDE w:val="0"/>
        <w:autoSpaceDN w:val="0"/>
        <w:adjustRightInd w:val="0"/>
        <w:spacing w:after="0" w:line="240" w:lineRule="auto"/>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1</w:t>
      </w:r>
      <w:r w:rsidR="000E18E4" w:rsidRPr="000E18E4">
        <w:rPr>
          <w:rFonts w:ascii="Times New Roman" w:hAnsi="Times New Roman" w:cs="Times New Roman"/>
          <w:b/>
          <w:color w:val="000000" w:themeColor="text1"/>
          <w:sz w:val="24"/>
          <w:szCs w:val="24"/>
          <w:lang w:val="ro-RO"/>
        </w:rPr>
        <w:t>.</w:t>
      </w:r>
      <w:r w:rsidR="00F37754">
        <w:rPr>
          <w:rFonts w:ascii="Times New Roman" w:hAnsi="Times New Roman" w:cs="Times New Roman"/>
          <w:b/>
          <w:color w:val="000000" w:themeColor="text1"/>
          <w:sz w:val="24"/>
          <w:szCs w:val="24"/>
          <w:lang w:val="ro-RO"/>
        </w:rPr>
        <w:t xml:space="preserve"> </w:t>
      </w:r>
      <w:r w:rsidR="000E18E4" w:rsidRPr="000E18E4">
        <w:rPr>
          <w:rFonts w:ascii="Times New Roman" w:hAnsi="Times New Roman" w:cs="Times New Roman"/>
          <w:b/>
          <w:color w:val="000000" w:themeColor="text1"/>
          <w:sz w:val="24"/>
          <w:szCs w:val="24"/>
          <w:lang w:val="ro-RO"/>
        </w:rPr>
        <w:t>REPERE TEORETICE</w:t>
      </w:r>
    </w:p>
    <w:p w:rsidR="0027535A" w:rsidRPr="00D06E1A" w:rsidRDefault="00547708" w:rsidP="00547708">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06E1A">
        <w:tab/>
      </w:r>
      <w:r w:rsidRPr="00D06E1A">
        <w:rPr>
          <w:rFonts w:ascii="Times New Roman" w:hAnsi="Times New Roman" w:cs="Times New Roman"/>
          <w:color w:val="000000" w:themeColor="text1"/>
          <w:sz w:val="24"/>
          <w:szCs w:val="24"/>
          <w:lang w:val="ro-RO"/>
        </w:rPr>
        <w:t>Deseori, termenul de bancă este utilizat în sinonimie cu cel de instituție de credit, chiar dacă, după cum se cunoaște, băncile reprezintă doar o parte, ce</w:t>
      </w:r>
      <w:r w:rsidRPr="00A53812">
        <w:rPr>
          <w:rFonts w:ascii="Times New Roman" w:hAnsi="Times New Roman" w:cs="Times New Roman"/>
          <w:b/>
          <w:sz w:val="24"/>
          <w:szCs w:val="24"/>
          <w:lang w:val="ro-RO"/>
        </w:rPr>
        <w:t>-</w:t>
      </w:r>
      <w:r w:rsidRPr="00D06E1A">
        <w:rPr>
          <w:rFonts w:ascii="Times New Roman" w:hAnsi="Times New Roman" w:cs="Times New Roman"/>
          <w:color w:val="000000" w:themeColor="text1"/>
          <w:sz w:val="24"/>
          <w:szCs w:val="24"/>
          <w:lang w:val="ro-RO"/>
        </w:rPr>
        <w:t xml:space="preserve">i drept semnificativă, în structura instituțiilor de credit. </w:t>
      </w:r>
    </w:p>
    <w:p w:rsidR="0027535A" w:rsidRPr="00D06E1A" w:rsidRDefault="0027535A" w:rsidP="0027535A">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06E1A">
        <w:rPr>
          <w:rFonts w:ascii="Times New Roman" w:hAnsi="Times New Roman" w:cs="Times New Roman"/>
          <w:color w:val="000000" w:themeColor="text1"/>
          <w:sz w:val="24"/>
          <w:szCs w:val="24"/>
          <w:lang w:val="ro-RO"/>
        </w:rPr>
        <w:tab/>
      </w:r>
      <w:r w:rsidR="00547708" w:rsidRPr="00D06E1A">
        <w:rPr>
          <w:rFonts w:ascii="Times New Roman" w:hAnsi="Times New Roman" w:cs="Times New Roman"/>
          <w:color w:val="000000" w:themeColor="text1"/>
          <w:sz w:val="24"/>
          <w:szCs w:val="24"/>
          <w:lang w:val="ro-RO"/>
        </w:rPr>
        <w:t>În conformitate cu actul legislativ privind instituțiile de credit și adecvarea capitalului, în</w:t>
      </w:r>
      <w:r w:rsidR="008B424B">
        <w:rPr>
          <w:rFonts w:ascii="Times New Roman" w:hAnsi="Times New Roman" w:cs="Times New Roman"/>
          <w:color w:val="000000" w:themeColor="text1"/>
          <w:sz w:val="24"/>
          <w:szCs w:val="24"/>
          <w:lang w:val="ro-RO"/>
        </w:rPr>
        <w:t xml:space="preserve"> vigoare de la 1 ianuarie 2007, </w:t>
      </w:r>
      <w:r w:rsidR="00547708" w:rsidRPr="00D06E1A">
        <w:rPr>
          <w:rFonts w:ascii="Times New Roman" w:hAnsi="Times New Roman" w:cs="Times New Roman"/>
          <w:color w:val="000000" w:themeColor="text1"/>
          <w:sz w:val="24"/>
          <w:szCs w:val="24"/>
          <w:lang w:val="ro-RO"/>
        </w:rPr>
        <w:t>OUG</w:t>
      </w:r>
      <w:r w:rsidRPr="00D06E1A">
        <w:rPr>
          <w:rFonts w:ascii="Times New Roman" w:hAnsi="Times New Roman" w:cs="Times New Roman"/>
          <w:color w:val="000000" w:themeColor="text1"/>
          <w:sz w:val="24"/>
          <w:szCs w:val="24"/>
          <w:lang w:val="ro-RO"/>
        </w:rPr>
        <w:t xml:space="preserve"> nr. 99</w:t>
      </w:r>
      <w:r w:rsidR="008B424B">
        <w:rPr>
          <w:rFonts w:ascii="Times New Roman" w:hAnsi="Times New Roman" w:cs="Times New Roman"/>
          <w:color w:val="000000" w:themeColor="text1"/>
          <w:sz w:val="24"/>
          <w:szCs w:val="24"/>
          <w:lang w:val="ro-RO"/>
        </w:rPr>
        <w:t>/</w:t>
      </w:r>
      <w:r w:rsidRPr="00D06E1A">
        <w:rPr>
          <w:rFonts w:ascii="Times New Roman" w:hAnsi="Times New Roman" w:cs="Times New Roman"/>
          <w:color w:val="000000" w:themeColor="text1"/>
          <w:sz w:val="24"/>
          <w:szCs w:val="24"/>
          <w:lang w:val="ro-RO"/>
        </w:rPr>
        <w:t>2006</w:t>
      </w:r>
      <w:r w:rsidR="008B424B">
        <w:rPr>
          <w:rFonts w:ascii="Times New Roman" w:hAnsi="Times New Roman" w:cs="Times New Roman"/>
          <w:color w:val="000000" w:themeColor="text1"/>
          <w:sz w:val="24"/>
          <w:szCs w:val="24"/>
          <w:lang w:val="ro-RO"/>
        </w:rPr>
        <w:t>,</w:t>
      </w:r>
      <w:r w:rsidRPr="00D06E1A">
        <w:rPr>
          <w:rFonts w:ascii="Times New Roman" w:hAnsi="Times New Roman" w:cs="Times New Roman"/>
          <w:color w:val="000000" w:themeColor="text1"/>
          <w:sz w:val="24"/>
          <w:szCs w:val="24"/>
          <w:lang w:val="ro-RO"/>
        </w:rPr>
        <w:t xml:space="preserve"> defineşte activitatea bancară: „</w:t>
      </w:r>
      <w:r w:rsidRPr="00D06E1A">
        <w:rPr>
          <w:rFonts w:ascii="Times New Roman" w:hAnsi="Times New Roman" w:cs="Times New Roman"/>
          <w:i/>
          <w:color w:val="000000" w:themeColor="text1"/>
          <w:sz w:val="24"/>
          <w:szCs w:val="24"/>
          <w:lang w:val="ro-RO"/>
        </w:rPr>
        <w:t>atragerea de depozite sau alte fonduri rambursabile de la public şi acordarea de credite în cont propriu</w:t>
      </w:r>
      <w:r w:rsidR="00CA60B1">
        <w:rPr>
          <w:rFonts w:ascii="Times New Roman" w:hAnsi="Times New Roman" w:cs="Times New Roman"/>
          <w:color w:val="000000" w:themeColor="text1"/>
          <w:sz w:val="24"/>
          <w:szCs w:val="24"/>
          <w:lang w:val="ro-RO"/>
        </w:rPr>
        <w:t>” , instituţia de credit</w:t>
      </w:r>
      <w:r w:rsidRPr="00D06E1A">
        <w:rPr>
          <w:rFonts w:ascii="Times New Roman" w:hAnsi="Times New Roman" w:cs="Times New Roman"/>
          <w:color w:val="000000" w:themeColor="text1"/>
          <w:sz w:val="24"/>
          <w:szCs w:val="24"/>
          <w:lang w:val="ro-RO"/>
        </w:rPr>
        <w:t xml:space="preserve"> fiind definită astfel: </w:t>
      </w:r>
    </w:p>
    <w:p w:rsidR="0027535A" w:rsidRPr="00D06E1A" w:rsidRDefault="0027535A" w:rsidP="0027535A">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06E1A">
        <w:rPr>
          <w:rFonts w:ascii="Times New Roman" w:hAnsi="Times New Roman" w:cs="Times New Roman"/>
          <w:color w:val="000000" w:themeColor="text1"/>
          <w:sz w:val="24"/>
          <w:szCs w:val="24"/>
          <w:lang w:val="ro-RO"/>
        </w:rPr>
        <w:t>„</w:t>
      </w:r>
      <w:r w:rsidRPr="00D06E1A">
        <w:rPr>
          <w:rFonts w:ascii="Times New Roman" w:hAnsi="Times New Roman" w:cs="Times New Roman"/>
          <w:i/>
          <w:color w:val="000000" w:themeColor="text1"/>
          <w:sz w:val="24"/>
          <w:szCs w:val="24"/>
          <w:lang w:val="ro-RO"/>
        </w:rPr>
        <w:t>o întreprindere a cărei activitate constă în atragerea de depozite sau de alte fonduri rambursabile de la public şi în acordarea de credite în cont propriu</w:t>
      </w:r>
      <w:r w:rsidRPr="00D06E1A">
        <w:rPr>
          <w:rFonts w:ascii="Times New Roman" w:hAnsi="Times New Roman" w:cs="Times New Roman"/>
          <w:color w:val="000000" w:themeColor="text1"/>
          <w:sz w:val="24"/>
          <w:szCs w:val="24"/>
          <w:lang w:val="ro-RO"/>
        </w:rPr>
        <w:t>.”</w:t>
      </w:r>
      <w:r w:rsidR="00A94A4F">
        <w:rPr>
          <w:rFonts w:ascii="Times New Roman" w:hAnsi="Times New Roman" w:cs="Times New Roman"/>
          <w:color w:val="000000" w:themeColor="text1"/>
          <w:sz w:val="24"/>
          <w:szCs w:val="24"/>
          <w:lang w:val="ro-RO"/>
        </w:rPr>
        <w:t>[1]</w:t>
      </w:r>
      <w:r w:rsidRPr="00D06E1A">
        <w:rPr>
          <w:rFonts w:ascii="Times New Roman" w:hAnsi="Times New Roman" w:cs="Times New Roman"/>
          <w:color w:val="000000" w:themeColor="text1"/>
          <w:sz w:val="24"/>
          <w:szCs w:val="24"/>
          <w:lang w:val="ro-RO"/>
        </w:rPr>
        <w:t xml:space="preserve"> </w:t>
      </w:r>
    </w:p>
    <w:p w:rsidR="00547708" w:rsidRPr="00D06E1A" w:rsidRDefault="0027535A" w:rsidP="0027535A">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06E1A">
        <w:rPr>
          <w:rFonts w:ascii="Times New Roman" w:hAnsi="Times New Roman" w:cs="Times New Roman"/>
          <w:color w:val="000000" w:themeColor="text1"/>
          <w:sz w:val="24"/>
          <w:szCs w:val="24"/>
          <w:lang w:val="ro-RO"/>
        </w:rPr>
        <w:tab/>
        <w:t>I</w:t>
      </w:r>
      <w:r w:rsidR="00547708" w:rsidRPr="00D06E1A">
        <w:rPr>
          <w:rFonts w:ascii="Times New Roman" w:hAnsi="Times New Roman" w:cs="Times New Roman"/>
          <w:color w:val="000000" w:themeColor="text1"/>
          <w:sz w:val="24"/>
          <w:szCs w:val="24"/>
          <w:lang w:val="ro-RO"/>
        </w:rPr>
        <w:t xml:space="preserve">nstituțiile de credit se pot organiza și funcționa în una din categoriile: bănci, organizații cooperatiste de credit, bănci de economisire și creditare în domeniul locativ, bănci de credit ipotecar.  </w:t>
      </w:r>
    </w:p>
    <w:p w:rsidR="00547708" w:rsidRPr="00D06E1A" w:rsidRDefault="0027535A" w:rsidP="00547708">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06E1A">
        <w:rPr>
          <w:rFonts w:ascii="Times New Roman" w:hAnsi="Times New Roman" w:cs="Times New Roman"/>
          <w:color w:val="000000" w:themeColor="text1"/>
          <w:sz w:val="24"/>
          <w:szCs w:val="24"/>
          <w:lang w:val="ro-RO"/>
        </w:rPr>
        <w:tab/>
      </w:r>
      <w:r w:rsidR="00547708" w:rsidRPr="00D06E1A">
        <w:rPr>
          <w:rFonts w:ascii="Times New Roman" w:hAnsi="Times New Roman" w:cs="Times New Roman"/>
          <w:color w:val="000000" w:themeColor="text1"/>
          <w:sz w:val="24"/>
          <w:szCs w:val="24"/>
          <w:lang w:val="ro-RO"/>
        </w:rPr>
        <w:t>Sistemul bancar românesc, a cunoscut o dezvoltare cant</w:t>
      </w:r>
      <w:r w:rsidR="009866E6" w:rsidRPr="00D06E1A">
        <w:rPr>
          <w:rFonts w:ascii="Times New Roman" w:hAnsi="Times New Roman" w:cs="Times New Roman"/>
          <w:color w:val="000000" w:themeColor="text1"/>
          <w:sz w:val="24"/>
          <w:szCs w:val="24"/>
          <w:lang w:val="ro-RO"/>
        </w:rPr>
        <w:t>itativă spectaculoasă în ultimele decenii</w:t>
      </w:r>
      <w:r w:rsidR="00547708" w:rsidRPr="00D06E1A">
        <w:rPr>
          <w:rFonts w:ascii="Times New Roman" w:hAnsi="Times New Roman" w:cs="Times New Roman"/>
          <w:color w:val="000000" w:themeColor="text1"/>
          <w:sz w:val="24"/>
          <w:szCs w:val="24"/>
          <w:lang w:val="ro-RO"/>
        </w:rPr>
        <w:t xml:space="preserve">, realizată prin intermediul trecerii de la un sistem bancar excesiv centralizat, cu majoritatea funcțiilor bancare concentrate în operațiunile BNR și a câtorva bănci specializate, către un sistem bancar adaptat cerințelor economiei de piață  și, implicit, globalizării financiare. </w:t>
      </w:r>
      <w:r w:rsidR="00CA60B1">
        <w:rPr>
          <w:rFonts w:ascii="Times New Roman" w:hAnsi="Times New Roman" w:cs="Times New Roman"/>
          <w:color w:val="000000" w:themeColor="text1"/>
          <w:sz w:val="24"/>
          <w:szCs w:val="24"/>
          <w:lang w:val="ro-RO"/>
        </w:rPr>
        <w:t>Fundamental</w:t>
      </w:r>
      <w:r w:rsidR="00CA60B1" w:rsidRPr="00D06E1A">
        <w:rPr>
          <w:rFonts w:ascii="Times New Roman" w:hAnsi="Times New Roman" w:cs="Times New Roman"/>
          <w:color w:val="000000" w:themeColor="text1"/>
          <w:sz w:val="24"/>
          <w:szCs w:val="24"/>
          <w:lang w:val="ro-RO"/>
        </w:rPr>
        <w:t>, si</w:t>
      </w:r>
      <w:r w:rsidR="00CA60B1">
        <w:rPr>
          <w:rFonts w:ascii="Times New Roman" w:hAnsi="Times New Roman" w:cs="Times New Roman"/>
          <w:color w:val="000000" w:themeColor="text1"/>
          <w:sz w:val="24"/>
          <w:szCs w:val="24"/>
          <w:lang w:val="ro-RO"/>
        </w:rPr>
        <w:t>stemul bancar, deși clasificat</w:t>
      </w:r>
      <w:r w:rsidR="00CA60B1" w:rsidRPr="00D06E1A">
        <w:rPr>
          <w:rFonts w:ascii="Times New Roman" w:hAnsi="Times New Roman" w:cs="Times New Roman"/>
          <w:color w:val="000000" w:themeColor="text1"/>
          <w:sz w:val="24"/>
          <w:szCs w:val="24"/>
          <w:lang w:val="ro-RO"/>
        </w:rPr>
        <w:t xml:space="preserve"> după o mulțime de criterii, este structurat pe două niveluri. </w:t>
      </w:r>
      <w:r w:rsidR="00547708" w:rsidRPr="00D06E1A">
        <w:rPr>
          <w:rFonts w:ascii="Times New Roman" w:hAnsi="Times New Roman" w:cs="Times New Roman"/>
          <w:color w:val="000000" w:themeColor="text1"/>
          <w:sz w:val="24"/>
          <w:szCs w:val="24"/>
          <w:lang w:val="ro-RO"/>
        </w:rPr>
        <w:t xml:space="preserve">Astfel, în peisajul bancar </w:t>
      </w:r>
      <w:r w:rsidR="00D06E1A" w:rsidRPr="00D06E1A">
        <w:rPr>
          <w:rFonts w:ascii="Times New Roman" w:hAnsi="Times New Roman" w:cs="Times New Roman"/>
          <w:color w:val="000000" w:themeColor="text1"/>
          <w:sz w:val="24"/>
          <w:szCs w:val="24"/>
          <w:lang w:val="ro-RO"/>
        </w:rPr>
        <w:t>actual</w:t>
      </w:r>
      <w:r w:rsidR="00547708" w:rsidRPr="00D06E1A">
        <w:rPr>
          <w:rFonts w:ascii="Times New Roman" w:hAnsi="Times New Roman" w:cs="Times New Roman"/>
          <w:color w:val="000000" w:themeColor="text1"/>
          <w:sz w:val="24"/>
          <w:szCs w:val="24"/>
          <w:lang w:val="ro-RO"/>
        </w:rPr>
        <w:t>, alături de banca centrală, funcț</w:t>
      </w:r>
      <w:r w:rsidR="00D06E1A" w:rsidRPr="00D06E1A">
        <w:rPr>
          <w:rFonts w:ascii="Times New Roman" w:hAnsi="Times New Roman" w:cs="Times New Roman"/>
          <w:color w:val="000000" w:themeColor="text1"/>
          <w:sz w:val="24"/>
          <w:szCs w:val="24"/>
          <w:lang w:val="ro-RO"/>
        </w:rPr>
        <w:t>ionează bancile de rang doi</w:t>
      </w:r>
      <w:r w:rsidR="008B424B">
        <w:rPr>
          <w:rFonts w:ascii="Times New Roman" w:hAnsi="Times New Roman" w:cs="Times New Roman"/>
          <w:color w:val="000000" w:themeColor="text1"/>
          <w:sz w:val="24"/>
          <w:szCs w:val="24"/>
          <w:lang w:val="ro-RO"/>
        </w:rPr>
        <w:t xml:space="preserve">, denumite și </w:t>
      </w:r>
      <w:r w:rsidR="00547708" w:rsidRPr="00D06E1A">
        <w:rPr>
          <w:rFonts w:ascii="Times New Roman" w:hAnsi="Times New Roman" w:cs="Times New Roman"/>
          <w:color w:val="000000" w:themeColor="text1"/>
          <w:sz w:val="24"/>
          <w:szCs w:val="24"/>
          <w:lang w:val="ro-RO"/>
        </w:rPr>
        <w:t xml:space="preserve">bănci comerciale sau de </w:t>
      </w:r>
      <w:r w:rsidR="008B424B">
        <w:rPr>
          <w:rFonts w:ascii="Times New Roman" w:hAnsi="Times New Roman" w:cs="Times New Roman"/>
          <w:color w:val="000000" w:themeColor="text1"/>
          <w:sz w:val="24"/>
          <w:szCs w:val="24"/>
          <w:lang w:val="ro-RO"/>
        </w:rPr>
        <w:t>depozit și băncile specializate</w:t>
      </w:r>
      <w:r w:rsidR="00547708" w:rsidRPr="00D06E1A">
        <w:rPr>
          <w:rFonts w:ascii="Times New Roman" w:hAnsi="Times New Roman" w:cs="Times New Roman"/>
          <w:color w:val="000000" w:themeColor="text1"/>
          <w:sz w:val="24"/>
          <w:szCs w:val="24"/>
          <w:lang w:val="ro-RO"/>
        </w:rPr>
        <w:t>.</w:t>
      </w:r>
    </w:p>
    <w:p w:rsidR="00E41D98" w:rsidRPr="00D06E1A" w:rsidRDefault="00D06E1A" w:rsidP="002F6A1E">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D06E1A">
        <w:rPr>
          <w:rFonts w:ascii="Times New Roman" w:hAnsi="Times New Roman" w:cs="Times New Roman"/>
          <w:color w:val="000000" w:themeColor="text1"/>
          <w:sz w:val="24"/>
          <w:szCs w:val="24"/>
          <w:lang w:val="ro-RO"/>
        </w:rPr>
        <w:tab/>
        <w:t xml:space="preserve"> </w:t>
      </w:r>
      <w:r w:rsidR="00547708" w:rsidRPr="00D06E1A">
        <w:rPr>
          <w:rFonts w:ascii="Times New Roman" w:hAnsi="Times New Roman" w:cs="Times New Roman"/>
          <w:color w:val="000000" w:themeColor="text1"/>
          <w:sz w:val="24"/>
          <w:szCs w:val="24"/>
          <w:lang w:val="ro-RO"/>
        </w:rPr>
        <w:t>În sensul celor invocate, băncile reprezintă, în mod vădit, o categorie de entități, esențiale/fundamentale pentru funcționarea și prosperitatea economiilor naționale, cât și a eco</w:t>
      </w:r>
      <w:r w:rsidRPr="00D06E1A">
        <w:rPr>
          <w:rFonts w:ascii="Times New Roman" w:hAnsi="Times New Roman" w:cs="Times New Roman"/>
          <w:color w:val="000000" w:themeColor="text1"/>
          <w:sz w:val="24"/>
          <w:szCs w:val="24"/>
          <w:lang w:val="ro-RO"/>
        </w:rPr>
        <w:t>nomiei globale contemporane, o „</w:t>
      </w:r>
      <w:r w:rsidRPr="00D06E1A">
        <w:rPr>
          <w:rFonts w:ascii="Times New Roman" w:hAnsi="Times New Roman" w:cs="Times New Roman"/>
          <w:i/>
          <w:color w:val="000000" w:themeColor="text1"/>
          <w:sz w:val="24"/>
          <w:szCs w:val="24"/>
          <w:lang w:val="ro-RO"/>
        </w:rPr>
        <w:t>verigă</w:t>
      </w:r>
      <w:r w:rsidRPr="00D06E1A">
        <w:rPr>
          <w:rFonts w:ascii="Times New Roman" w:hAnsi="Times New Roman" w:cs="Times New Roman"/>
          <w:color w:val="000000" w:themeColor="text1"/>
          <w:sz w:val="24"/>
          <w:szCs w:val="24"/>
          <w:lang w:val="ro-RO"/>
        </w:rPr>
        <w:t>” importantă în „</w:t>
      </w:r>
      <w:r w:rsidR="00547708" w:rsidRPr="00D06E1A">
        <w:rPr>
          <w:rFonts w:ascii="Times New Roman" w:hAnsi="Times New Roman" w:cs="Times New Roman"/>
          <w:i/>
          <w:color w:val="000000" w:themeColor="text1"/>
          <w:sz w:val="24"/>
          <w:szCs w:val="24"/>
          <w:lang w:val="ro-RO"/>
        </w:rPr>
        <w:t>lanțul</w:t>
      </w:r>
      <w:r w:rsidR="00547708" w:rsidRPr="00D06E1A">
        <w:rPr>
          <w:rFonts w:ascii="Times New Roman" w:hAnsi="Times New Roman" w:cs="Times New Roman"/>
          <w:color w:val="000000" w:themeColor="text1"/>
          <w:sz w:val="24"/>
          <w:szCs w:val="24"/>
          <w:lang w:val="ro-RO"/>
        </w:rPr>
        <w:t>” dezvoltării soc</w:t>
      </w:r>
      <w:r w:rsidRPr="00D06E1A">
        <w:rPr>
          <w:rFonts w:ascii="Times New Roman" w:hAnsi="Times New Roman" w:cs="Times New Roman"/>
          <w:color w:val="000000" w:themeColor="text1"/>
          <w:sz w:val="24"/>
          <w:szCs w:val="24"/>
          <w:lang w:val="ro-RO"/>
        </w:rPr>
        <w:t>io-economice, întrucât dețin o „</w:t>
      </w:r>
      <w:r w:rsidR="00547708" w:rsidRPr="00D06E1A">
        <w:rPr>
          <w:rFonts w:ascii="Times New Roman" w:hAnsi="Times New Roman" w:cs="Times New Roman"/>
          <w:i/>
          <w:color w:val="000000" w:themeColor="text1"/>
          <w:sz w:val="24"/>
          <w:szCs w:val="24"/>
          <w:lang w:val="ro-RO"/>
        </w:rPr>
        <w:t>greutate specifică</w:t>
      </w:r>
      <w:r w:rsidR="00547708" w:rsidRPr="00D06E1A">
        <w:rPr>
          <w:rFonts w:ascii="Times New Roman" w:hAnsi="Times New Roman" w:cs="Times New Roman"/>
          <w:color w:val="000000" w:themeColor="text1"/>
          <w:sz w:val="24"/>
          <w:szCs w:val="24"/>
          <w:lang w:val="ro-RO"/>
        </w:rPr>
        <w:t xml:space="preserve">” însemnată în totalul </w:t>
      </w:r>
      <w:r w:rsidR="008B424B">
        <w:rPr>
          <w:rFonts w:ascii="Times New Roman" w:hAnsi="Times New Roman" w:cs="Times New Roman"/>
          <w:color w:val="000000" w:themeColor="text1"/>
          <w:sz w:val="24"/>
          <w:szCs w:val="24"/>
          <w:lang w:val="ro-RO"/>
        </w:rPr>
        <w:t>activelor financiare di</w:t>
      </w:r>
      <w:r w:rsidR="00547708" w:rsidRPr="00D06E1A">
        <w:rPr>
          <w:rFonts w:ascii="Times New Roman" w:hAnsi="Times New Roman" w:cs="Times New Roman"/>
          <w:color w:val="000000" w:themeColor="text1"/>
          <w:sz w:val="24"/>
          <w:szCs w:val="24"/>
          <w:lang w:val="ro-RO"/>
        </w:rPr>
        <w:t>n economie.</w:t>
      </w:r>
    </w:p>
    <w:p w:rsidR="00F65739" w:rsidRPr="00D06E1A" w:rsidRDefault="000E18E4"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sidRPr="00D06E1A">
        <w:rPr>
          <w:rFonts w:ascii="Times New Roman" w:hAnsi="Times New Roman" w:cs="Times New Roman"/>
          <w:color w:val="000000" w:themeColor="text1"/>
          <w:sz w:val="24"/>
          <w:szCs w:val="24"/>
        </w:rPr>
        <w:tab/>
        <w:t>Una dintre</w:t>
      </w:r>
      <w:r w:rsidR="008B424B">
        <w:rPr>
          <w:rFonts w:ascii="Times New Roman" w:hAnsi="Times New Roman" w:cs="Times New Roman"/>
          <w:color w:val="000000" w:themeColor="text1"/>
          <w:sz w:val="24"/>
          <w:szCs w:val="24"/>
        </w:rPr>
        <w:t xml:space="preserve"> atribuțiile principale ale</w:t>
      </w:r>
      <w:r w:rsidRPr="00D06E1A">
        <w:rPr>
          <w:rFonts w:ascii="Times New Roman" w:hAnsi="Times New Roman" w:cs="Times New Roman"/>
          <w:color w:val="000000" w:themeColor="text1"/>
          <w:sz w:val="24"/>
          <w:szCs w:val="24"/>
        </w:rPr>
        <w:t xml:space="preserve"> bănci</w:t>
      </w:r>
      <w:r w:rsidR="008B424B">
        <w:rPr>
          <w:rFonts w:ascii="Times New Roman" w:hAnsi="Times New Roman" w:cs="Times New Roman"/>
          <w:color w:val="000000" w:themeColor="text1"/>
          <w:sz w:val="24"/>
          <w:szCs w:val="24"/>
        </w:rPr>
        <w:t>lor</w:t>
      </w:r>
      <w:r w:rsidRPr="00D06E1A">
        <w:rPr>
          <w:rFonts w:ascii="Times New Roman" w:hAnsi="Times New Roman" w:cs="Times New Roman"/>
          <w:color w:val="000000" w:themeColor="text1"/>
          <w:sz w:val="24"/>
          <w:szCs w:val="24"/>
        </w:rPr>
        <w:t xml:space="preserve"> este acordarea de credite care să permită </w:t>
      </w:r>
      <w:r w:rsidR="00F65739" w:rsidRPr="00D06E1A">
        <w:rPr>
          <w:rFonts w:ascii="Times New Roman" w:hAnsi="Times New Roman" w:cs="Times New Roman"/>
          <w:color w:val="000000" w:themeColor="text1"/>
          <w:sz w:val="24"/>
          <w:szCs w:val="24"/>
        </w:rPr>
        <w:t xml:space="preserve">firmelor </w:t>
      </w:r>
      <w:r w:rsidRPr="00D06E1A">
        <w:rPr>
          <w:rFonts w:ascii="Times New Roman" w:hAnsi="Times New Roman" w:cs="Times New Roman"/>
          <w:color w:val="000000" w:themeColor="text1"/>
          <w:sz w:val="24"/>
          <w:szCs w:val="24"/>
        </w:rPr>
        <w:t>să efectueze investiții și să creeze locuri de muncă. Creditele permit, de asemenea, pers</w:t>
      </w:r>
      <w:r w:rsidR="00F65739" w:rsidRPr="00D06E1A">
        <w:rPr>
          <w:rFonts w:ascii="Times New Roman" w:hAnsi="Times New Roman" w:cs="Times New Roman"/>
          <w:color w:val="000000" w:themeColor="text1"/>
          <w:sz w:val="24"/>
          <w:szCs w:val="24"/>
        </w:rPr>
        <w:t>oanelor fizice să achiziționeze bunuri de folosință îndelungată pro</w:t>
      </w:r>
      <w:r w:rsidR="008B424B">
        <w:rPr>
          <w:rFonts w:ascii="Times New Roman" w:hAnsi="Times New Roman" w:cs="Times New Roman"/>
          <w:color w:val="000000" w:themeColor="text1"/>
          <w:sz w:val="24"/>
          <w:szCs w:val="24"/>
        </w:rPr>
        <w:t>duse în sectorul real</w:t>
      </w:r>
      <w:r w:rsidRPr="00D06E1A">
        <w:rPr>
          <w:rFonts w:ascii="Times New Roman" w:hAnsi="Times New Roman" w:cs="Times New Roman"/>
          <w:color w:val="000000" w:themeColor="text1"/>
          <w:sz w:val="24"/>
          <w:szCs w:val="24"/>
        </w:rPr>
        <w:t xml:space="preserve">. </w:t>
      </w:r>
    </w:p>
    <w:p w:rsidR="00E41D98" w:rsidRPr="00D06E1A" w:rsidRDefault="00E41D98"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sidRPr="00D06E1A">
        <w:rPr>
          <w:rFonts w:ascii="Times New Roman" w:hAnsi="Times New Roman" w:cs="Times New Roman"/>
          <w:color w:val="000000" w:themeColor="text1"/>
          <w:sz w:val="24"/>
          <w:szCs w:val="24"/>
        </w:rPr>
        <w:tab/>
        <w:t>Gestiunea bancară se bazează pe ana</w:t>
      </w:r>
      <w:r w:rsidR="008B424B">
        <w:rPr>
          <w:rFonts w:ascii="Times New Roman" w:hAnsi="Times New Roman" w:cs="Times New Roman"/>
          <w:color w:val="000000" w:themeColor="text1"/>
          <w:sz w:val="24"/>
          <w:szCs w:val="24"/>
        </w:rPr>
        <w:t xml:space="preserve">liza următorilor indicatori: </w:t>
      </w:r>
      <w:r w:rsidRPr="00D06E1A">
        <w:rPr>
          <w:rFonts w:ascii="Times New Roman" w:hAnsi="Times New Roman" w:cs="Times New Roman"/>
          <w:color w:val="000000" w:themeColor="text1"/>
          <w:sz w:val="24"/>
          <w:szCs w:val="24"/>
        </w:rPr>
        <w:t>Capit</w:t>
      </w:r>
      <w:r w:rsidR="008B424B">
        <w:rPr>
          <w:rFonts w:ascii="Times New Roman" w:hAnsi="Times New Roman" w:cs="Times New Roman"/>
          <w:color w:val="000000" w:themeColor="text1"/>
          <w:sz w:val="24"/>
          <w:szCs w:val="24"/>
        </w:rPr>
        <w:t xml:space="preserve">al (Adecvarea capitalului); </w:t>
      </w:r>
      <w:r w:rsidRPr="00D06E1A">
        <w:rPr>
          <w:rFonts w:ascii="Times New Roman" w:hAnsi="Times New Roman" w:cs="Times New Roman"/>
          <w:color w:val="000000" w:themeColor="text1"/>
          <w:sz w:val="24"/>
          <w:szCs w:val="24"/>
        </w:rPr>
        <w:t>As</w:t>
      </w:r>
      <w:r w:rsidR="008B424B">
        <w:rPr>
          <w:rFonts w:ascii="Times New Roman" w:hAnsi="Times New Roman" w:cs="Times New Roman"/>
          <w:color w:val="000000" w:themeColor="text1"/>
          <w:sz w:val="24"/>
          <w:szCs w:val="24"/>
        </w:rPr>
        <w:t>sets (Calitatea activelor); Management; Earnings (Profitabilitate) și</w:t>
      </w:r>
      <w:r w:rsidRPr="00D06E1A">
        <w:rPr>
          <w:rFonts w:ascii="Times New Roman" w:hAnsi="Times New Roman" w:cs="Times New Roman"/>
          <w:color w:val="000000" w:themeColor="text1"/>
          <w:sz w:val="24"/>
          <w:szCs w:val="24"/>
        </w:rPr>
        <w:t xml:space="preserve"> Liquidity (Lichiditate).</w:t>
      </w:r>
      <w:r w:rsidRPr="00D06E1A">
        <w:rPr>
          <w:rFonts w:ascii="Times New Roman" w:hAnsi="Times New Roman" w:cs="Times New Roman"/>
          <w:color w:val="000000" w:themeColor="text1"/>
          <w:sz w:val="24"/>
          <w:szCs w:val="24"/>
        </w:rPr>
        <w:tab/>
      </w:r>
    </w:p>
    <w:p w:rsidR="00D06E1A" w:rsidRPr="00D06E1A" w:rsidRDefault="00E41D98"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sidRPr="00D06E1A">
        <w:rPr>
          <w:rFonts w:ascii="Times New Roman" w:hAnsi="Times New Roman" w:cs="Times New Roman"/>
          <w:color w:val="000000" w:themeColor="text1"/>
          <w:sz w:val="24"/>
          <w:szCs w:val="24"/>
        </w:rPr>
        <w:tab/>
        <w:t xml:space="preserve">Managementul a activelor porneşte de la premisa că principalul activ al băncii, reprezentat de credite, nu se transformă întotdeauna cu uşurinţă în lichidităţi, în special atunci </w:t>
      </w:r>
      <w:r w:rsidRPr="00D06E1A">
        <w:rPr>
          <w:rFonts w:ascii="Times New Roman" w:hAnsi="Times New Roman" w:cs="Times New Roman"/>
          <w:color w:val="000000" w:themeColor="text1"/>
          <w:sz w:val="24"/>
          <w:szCs w:val="24"/>
        </w:rPr>
        <w:lastRenderedPageBreak/>
        <w:t>când economia este în recesiune.</w:t>
      </w:r>
      <w:r w:rsidR="00D06E1A" w:rsidRPr="00D06E1A">
        <w:rPr>
          <w:rFonts w:ascii="Times New Roman" w:hAnsi="Times New Roman" w:cs="Times New Roman"/>
          <w:color w:val="000000" w:themeColor="text1"/>
          <w:sz w:val="24"/>
          <w:szCs w:val="24"/>
        </w:rPr>
        <w:t xml:space="preserve"> </w:t>
      </w:r>
      <w:r w:rsidR="00F65739" w:rsidRPr="00D06E1A">
        <w:rPr>
          <w:rFonts w:ascii="Times New Roman" w:hAnsi="Times New Roman" w:cs="Times New Roman"/>
          <w:color w:val="000000" w:themeColor="text1"/>
          <w:sz w:val="24"/>
          <w:szCs w:val="24"/>
        </w:rPr>
        <w:t>Banca realizează</w:t>
      </w:r>
      <w:r w:rsidR="000E18E4" w:rsidRPr="00D06E1A">
        <w:rPr>
          <w:rFonts w:ascii="Times New Roman" w:hAnsi="Times New Roman" w:cs="Times New Roman"/>
          <w:color w:val="000000" w:themeColor="text1"/>
          <w:sz w:val="24"/>
          <w:szCs w:val="24"/>
        </w:rPr>
        <w:t xml:space="preserve"> venituri din dobânda pe care o percepe pentru aceste credite.</w:t>
      </w:r>
      <w:r w:rsidR="00F65739" w:rsidRPr="00D06E1A">
        <w:rPr>
          <w:rFonts w:ascii="Times New Roman" w:hAnsi="Times New Roman" w:cs="Times New Roman"/>
          <w:color w:val="000000" w:themeColor="text1"/>
          <w:sz w:val="24"/>
          <w:szCs w:val="24"/>
        </w:rPr>
        <w:t xml:space="preserve"> </w:t>
      </w:r>
      <w:r w:rsidR="00D06E1A" w:rsidRPr="00D06E1A">
        <w:rPr>
          <w:rFonts w:ascii="Times New Roman" w:hAnsi="Times New Roman" w:cs="Times New Roman"/>
          <w:color w:val="000000" w:themeColor="text1"/>
          <w:sz w:val="24"/>
          <w:szCs w:val="24"/>
        </w:rPr>
        <w:tab/>
      </w:r>
    </w:p>
    <w:p w:rsidR="000E18E4" w:rsidRPr="00D06E1A" w:rsidRDefault="00D06E1A"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8B424B">
        <w:rPr>
          <w:rFonts w:ascii="Times New Roman" w:hAnsi="Times New Roman" w:cs="Times New Roman"/>
          <w:color w:val="000000" w:themeColor="text1"/>
          <w:sz w:val="24"/>
          <w:szCs w:val="24"/>
        </w:rPr>
        <w:t xml:space="preserve">Așadar, se pornește de la premiza că </w:t>
      </w:r>
      <w:r w:rsidR="00CA60B1">
        <w:rPr>
          <w:rFonts w:ascii="Times New Roman" w:hAnsi="Times New Roman" w:cs="Times New Roman"/>
          <w:color w:val="000000" w:themeColor="text1"/>
          <w:sz w:val="24"/>
          <w:szCs w:val="24"/>
        </w:rPr>
        <w:t>a</w:t>
      </w:r>
      <w:r w:rsidR="000E18E4" w:rsidRPr="00D06E1A">
        <w:rPr>
          <w:rFonts w:ascii="Times New Roman" w:hAnsi="Times New Roman" w:cs="Times New Roman"/>
          <w:color w:val="000000" w:themeColor="text1"/>
          <w:sz w:val="24"/>
          <w:szCs w:val="24"/>
        </w:rPr>
        <w:t>cordarea de credite nu este lipsită de riscuri, deoarece banca nu poate avea niciodată cer</w:t>
      </w:r>
      <w:r w:rsidR="008B424B">
        <w:rPr>
          <w:rFonts w:ascii="Times New Roman" w:hAnsi="Times New Roman" w:cs="Times New Roman"/>
          <w:color w:val="000000" w:themeColor="text1"/>
          <w:sz w:val="24"/>
          <w:szCs w:val="24"/>
        </w:rPr>
        <w:t>titudinea că debitorii vor</w:t>
      </w:r>
      <w:r w:rsidR="008953AA">
        <w:rPr>
          <w:rFonts w:ascii="Times New Roman" w:hAnsi="Times New Roman" w:cs="Times New Roman"/>
          <w:color w:val="000000" w:themeColor="text1"/>
          <w:sz w:val="24"/>
          <w:szCs w:val="24"/>
        </w:rPr>
        <w:t xml:space="preserve"> rambursa împrumutul</w:t>
      </w:r>
      <w:r w:rsidR="000E18E4" w:rsidRPr="00D06E1A">
        <w:rPr>
          <w:rFonts w:ascii="Times New Roman" w:hAnsi="Times New Roman" w:cs="Times New Roman"/>
          <w:color w:val="000000" w:themeColor="text1"/>
          <w:sz w:val="24"/>
          <w:szCs w:val="24"/>
        </w:rPr>
        <w:t xml:space="preserve"> </w:t>
      </w:r>
      <w:r w:rsidRPr="00D06E1A">
        <w:rPr>
          <w:rFonts w:ascii="Times New Roman" w:hAnsi="Times New Roman" w:cs="Times New Roman"/>
          <w:color w:val="000000" w:themeColor="text1"/>
          <w:sz w:val="24"/>
          <w:szCs w:val="24"/>
        </w:rPr>
        <w:t>ș</w:t>
      </w:r>
      <w:r w:rsidR="003A13D5" w:rsidRPr="00D06E1A">
        <w:rPr>
          <w:rFonts w:ascii="Times New Roman" w:hAnsi="Times New Roman" w:cs="Times New Roman"/>
          <w:color w:val="000000" w:themeColor="text1"/>
          <w:sz w:val="24"/>
          <w:szCs w:val="24"/>
        </w:rPr>
        <w:t>i va plăti dobânzile la</w:t>
      </w:r>
      <w:r w:rsidR="000E18E4" w:rsidRPr="00D06E1A">
        <w:rPr>
          <w:rFonts w:ascii="Times New Roman" w:hAnsi="Times New Roman" w:cs="Times New Roman"/>
          <w:color w:val="000000" w:themeColor="text1"/>
          <w:sz w:val="24"/>
          <w:szCs w:val="24"/>
        </w:rPr>
        <w:t xml:space="preserve"> termenul convenit. În situația în care debitorul încetează rambursarea împrumutului sau plata dobânzii, banca trebuie să clasifice, după o anumită perioadă, creditul în categoria „</w:t>
      </w:r>
      <w:r w:rsidR="000E18E4" w:rsidRPr="00D06E1A">
        <w:rPr>
          <w:rFonts w:ascii="Times New Roman" w:hAnsi="Times New Roman" w:cs="Times New Roman"/>
          <w:i/>
          <w:color w:val="000000" w:themeColor="text1"/>
          <w:sz w:val="24"/>
          <w:szCs w:val="24"/>
        </w:rPr>
        <w:t>credite neperfomante</w:t>
      </w:r>
      <w:r w:rsidR="00CA60B1">
        <w:rPr>
          <w:rFonts w:ascii="Times New Roman" w:hAnsi="Times New Roman" w:cs="Times New Roman"/>
          <w:color w:val="000000" w:themeColor="text1"/>
          <w:sz w:val="24"/>
          <w:szCs w:val="24"/>
        </w:rPr>
        <w:t>”.</w:t>
      </w:r>
    </w:p>
    <w:p w:rsidR="008B424B" w:rsidRDefault="00D06E1A" w:rsidP="00D06E1A">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Pr>
          <w:rFonts w:ascii="Times New Roman" w:hAnsi="Times New Roman" w:cs="Times New Roman"/>
          <w:b/>
          <w:color w:val="000000" w:themeColor="text1"/>
          <w:sz w:val="24"/>
          <w:szCs w:val="24"/>
          <w:lang w:val="pt-PT"/>
        </w:rPr>
        <w:tab/>
      </w:r>
      <w:r w:rsidRPr="00B21C46">
        <w:rPr>
          <w:rFonts w:ascii="Times New Roman" w:hAnsi="Times New Roman" w:cs="Times New Roman"/>
          <w:color w:val="000000" w:themeColor="text1"/>
          <w:sz w:val="24"/>
          <w:szCs w:val="24"/>
          <w:lang w:val="pt-PT"/>
        </w:rPr>
        <w:t>Bilanțul, o expresie clară echilibrului la nivelul entităților bancare, arată, în</w:t>
      </w:r>
      <w:r w:rsidRPr="00D06E1A">
        <w:rPr>
          <w:rFonts w:ascii="Times New Roman" w:hAnsi="Times New Roman" w:cs="Times New Roman"/>
          <w:b/>
          <w:color w:val="000000" w:themeColor="text1"/>
          <w:sz w:val="24"/>
          <w:szCs w:val="24"/>
          <w:lang w:val="pt-PT"/>
        </w:rPr>
        <w:t xml:space="preserve"> </w:t>
      </w:r>
      <w:r w:rsidRPr="009429B4">
        <w:rPr>
          <w:rFonts w:ascii="Times New Roman" w:hAnsi="Times New Roman" w:cs="Times New Roman"/>
          <w:color w:val="000000" w:themeColor="text1"/>
          <w:sz w:val="24"/>
          <w:szCs w:val="24"/>
          <w:lang w:val="pt-PT"/>
        </w:rPr>
        <w:t>structura și dinamica sa, că managementul activelor și al pasivelor bancare reprezintă, pe termen scurt, o parte integrantă a procesului de ge</w:t>
      </w:r>
      <w:r w:rsidR="009429B4" w:rsidRPr="009429B4">
        <w:rPr>
          <w:rFonts w:ascii="Times New Roman" w:hAnsi="Times New Roman" w:cs="Times New Roman"/>
          <w:color w:val="000000" w:themeColor="text1"/>
          <w:sz w:val="24"/>
          <w:szCs w:val="24"/>
          <w:lang w:val="pt-PT"/>
        </w:rPr>
        <w:t>stiune bancară</w:t>
      </w:r>
      <w:r w:rsidRPr="009429B4">
        <w:rPr>
          <w:rFonts w:ascii="Times New Roman" w:hAnsi="Times New Roman" w:cs="Times New Roman"/>
          <w:color w:val="000000" w:themeColor="text1"/>
          <w:sz w:val="24"/>
          <w:szCs w:val="24"/>
          <w:lang w:val="pt-PT"/>
        </w:rPr>
        <w:t xml:space="preserve">. </w:t>
      </w:r>
    </w:p>
    <w:p w:rsidR="00D06E1A" w:rsidRPr="00A94A4F" w:rsidRDefault="008B424B" w:rsidP="00D06E1A">
      <w:pPr>
        <w:autoSpaceDE w:val="0"/>
        <w:autoSpaceDN w:val="0"/>
        <w:adjustRightInd w:val="0"/>
        <w:spacing w:after="0" w:line="240" w:lineRule="auto"/>
        <w:jc w:val="both"/>
        <w:rPr>
          <w:rFonts w:ascii="Times New Roman" w:hAnsi="Times New Roman" w:cs="Times New Roman"/>
          <w:sz w:val="24"/>
          <w:szCs w:val="24"/>
          <w:lang w:val="pt-PT"/>
        </w:rPr>
      </w:pPr>
      <w:r>
        <w:rPr>
          <w:rFonts w:ascii="Times New Roman" w:hAnsi="Times New Roman" w:cs="Times New Roman"/>
          <w:color w:val="000000" w:themeColor="text1"/>
          <w:sz w:val="24"/>
          <w:szCs w:val="24"/>
          <w:lang w:val="pt-PT"/>
        </w:rPr>
        <w:tab/>
      </w:r>
      <w:r w:rsidR="00D06E1A" w:rsidRPr="009429B4">
        <w:rPr>
          <w:rFonts w:ascii="Times New Roman" w:hAnsi="Times New Roman" w:cs="Times New Roman"/>
          <w:color w:val="000000" w:themeColor="text1"/>
          <w:sz w:val="24"/>
          <w:szCs w:val="24"/>
          <w:lang w:val="pt-PT"/>
        </w:rPr>
        <w:t>Astfel, obiectivele</w:t>
      </w:r>
      <w:r w:rsidR="00D06E1A" w:rsidRPr="00B21C46">
        <w:rPr>
          <w:rFonts w:ascii="Times New Roman" w:hAnsi="Times New Roman" w:cs="Times New Roman"/>
          <w:b/>
          <w:color w:val="000000" w:themeColor="text1"/>
          <w:sz w:val="24"/>
          <w:szCs w:val="24"/>
          <w:lang w:val="pt-PT"/>
        </w:rPr>
        <w:t>-</w:t>
      </w:r>
      <w:r w:rsidR="00D06E1A" w:rsidRPr="009429B4">
        <w:rPr>
          <w:rFonts w:ascii="Times New Roman" w:hAnsi="Times New Roman" w:cs="Times New Roman"/>
          <w:color w:val="000000" w:themeColor="text1"/>
          <w:sz w:val="24"/>
          <w:szCs w:val="24"/>
          <w:lang w:val="pt-PT"/>
        </w:rPr>
        <w:t xml:space="preserve">pivot în </w:t>
      </w:r>
      <w:r w:rsidR="00D06E1A" w:rsidRPr="008B424B">
        <w:rPr>
          <w:rFonts w:ascii="Times New Roman" w:hAnsi="Times New Roman" w:cs="Times New Roman"/>
          <w:color w:val="000000" w:themeColor="text1"/>
          <w:sz w:val="24"/>
          <w:szCs w:val="24"/>
          <w:lang w:val="pt-PT"/>
        </w:rPr>
        <w:t xml:space="preserve">managementului activelor </w:t>
      </w:r>
      <w:r w:rsidR="00D06E1A" w:rsidRPr="00CA60B1">
        <w:rPr>
          <w:rFonts w:ascii="Times New Roman" w:hAnsi="Times New Roman" w:cs="Times New Roman"/>
          <w:sz w:val="24"/>
          <w:szCs w:val="24"/>
          <w:lang w:val="pt-PT"/>
        </w:rPr>
        <w:t>și pasivelor bancare – MAP –</w:t>
      </w:r>
      <w:r w:rsidR="00D06E1A" w:rsidRPr="00CA60B1">
        <w:rPr>
          <w:rFonts w:ascii="Times New Roman" w:hAnsi="Times New Roman" w:cs="Times New Roman"/>
          <w:i/>
          <w:sz w:val="24"/>
          <w:szCs w:val="24"/>
          <w:lang w:val="pt-PT"/>
        </w:rPr>
        <w:t xml:space="preserve"> </w:t>
      </w:r>
      <w:r w:rsidR="00D06E1A" w:rsidRPr="00CA60B1">
        <w:rPr>
          <w:rFonts w:ascii="Times New Roman" w:hAnsi="Times New Roman" w:cs="Times New Roman"/>
          <w:sz w:val="24"/>
          <w:szCs w:val="24"/>
          <w:lang w:val="pt-PT"/>
        </w:rPr>
        <w:t>sunt interdependente, reducându</w:t>
      </w:r>
      <w:r w:rsidR="00D06E1A" w:rsidRPr="00CA60B1">
        <w:rPr>
          <w:rFonts w:ascii="Times New Roman" w:hAnsi="Times New Roman" w:cs="Times New Roman"/>
          <w:b/>
          <w:sz w:val="24"/>
          <w:szCs w:val="24"/>
          <w:lang w:val="pt-PT"/>
        </w:rPr>
        <w:t>-</w:t>
      </w:r>
      <w:r w:rsidR="00D06E1A" w:rsidRPr="00CA60B1">
        <w:rPr>
          <w:rFonts w:ascii="Times New Roman" w:hAnsi="Times New Roman" w:cs="Times New Roman"/>
          <w:sz w:val="24"/>
          <w:szCs w:val="24"/>
          <w:lang w:val="pt-PT"/>
        </w:rPr>
        <w:t>se</w:t>
      </w:r>
      <w:r w:rsidRPr="00CA60B1">
        <w:rPr>
          <w:rFonts w:ascii="Times New Roman" w:hAnsi="Times New Roman" w:cs="Times New Roman"/>
          <w:sz w:val="24"/>
          <w:szCs w:val="24"/>
          <w:lang w:val="pt-PT"/>
        </w:rPr>
        <w:t xml:space="preserve">, dacă se poate spune așa, </w:t>
      </w:r>
      <w:r w:rsidR="00D06E1A" w:rsidRPr="00CA60B1">
        <w:rPr>
          <w:rFonts w:ascii="Times New Roman" w:hAnsi="Times New Roman" w:cs="Times New Roman"/>
          <w:sz w:val="24"/>
          <w:szCs w:val="24"/>
          <w:lang w:val="pt-PT"/>
        </w:rPr>
        <w:t>la</w:t>
      </w:r>
      <w:r w:rsidR="00CA60B1">
        <w:rPr>
          <w:rFonts w:ascii="Times New Roman" w:hAnsi="Times New Roman" w:cs="Times New Roman"/>
          <w:sz w:val="24"/>
          <w:szCs w:val="24"/>
          <w:lang w:val="pt-PT"/>
        </w:rPr>
        <w:t xml:space="preserve"> </w:t>
      </w:r>
      <w:r w:rsidR="00D06E1A" w:rsidRPr="00CA60B1">
        <w:rPr>
          <w:rFonts w:ascii="Times New Roman" w:hAnsi="Times New Roman" w:cs="Times New Roman"/>
          <w:sz w:val="24"/>
          <w:szCs w:val="24"/>
          <w:lang w:val="pt-PT"/>
        </w:rPr>
        <w:t xml:space="preserve">: </w:t>
      </w:r>
      <w:r w:rsidR="00D06E1A" w:rsidRPr="00CA60B1">
        <w:rPr>
          <w:rFonts w:ascii="Times New Roman" w:hAnsi="Times New Roman" w:cs="Times New Roman"/>
          <w:i/>
          <w:sz w:val="24"/>
          <w:szCs w:val="24"/>
          <w:lang w:val="pt-PT"/>
        </w:rPr>
        <w:t>creșterea veniturilor băncii din plasamente coroborată cu scăderea costurilor surselor atrase, în condiţiile menţinerii unui risc acceptabil şi respectării reglementărilor în vigoare cu privire la adecvarea capitalului şi lichiditatea băncii.</w:t>
      </w:r>
      <w:r w:rsidR="00A94A4F">
        <w:rPr>
          <w:rFonts w:ascii="Times New Roman" w:hAnsi="Times New Roman" w:cs="Times New Roman"/>
          <w:sz w:val="24"/>
          <w:szCs w:val="24"/>
          <w:lang w:val="pt-PT"/>
        </w:rPr>
        <w:t>[2]</w:t>
      </w:r>
    </w:p>
    <w:p w:rsidR="00D06E1A" w:rsidRPr="009429B4" w:rsidRDefault="009429B4" w:rsidP="00D06E1A">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sidRPr="009429B4">
        <w:rPr>
          <w:rFonts w:ascii="Times New Roman" w:hAnsi="Times New Roman" w:cs="Times New Roman"/>
          <w:color w:val="000000" w:themeColor="text1"/>
          <w:sz w:val="24"/>
          <w:szCs w:val="24"/>
          <w:lang w:val="pt-PT"/>
        </w:rPr>
        <w:tab/>
      </w:r>
      <w:r w:rsidR="00D06E1A" w:rsidRPr="009429B4">
        <w:rPr>
          <w:rFonts w:ascii="Times New Roman" w:hAnsi="Times New Roman" w:cs="Times New Roman"/>
          <w:color w:val="000000" w:themeColor="text1"/>
          <w:sz w:val="24"/>
          <w:szCs w:val="24"/>
          <w:lang w:val="pt-PT"/>
        </w:rPr>
        <w:t xml:space="preserve">În relația existentă între gestiune bancară și management bancar se impune ideea că, deși teoretic tindem să ne raportăm în mod egal la cele două concepte, se pare că practica ne arată că diferența dintre cele două este, totuși, una de fond, întrucât gestiunea bancară (prin cele trei ipostaze </w:t>
      </w:r>
      <w:r w:rsidRPr="009429B4">
        <w:rPr>
          <w:rFonts w:ascii="Times New Roman" w:hAnsi="Times New Roman" w:cs="Times New Roman"/>
          <w:color w:val="000000" w:themeColor="text1"/>
          <w:sz w:val="24"/>
          <w:szCs w:val="24"/>
          <w:lang w:val="pt-PT"/>
        </w:rPr>
        <w:t>specifice: gestiunea riscurilor,</w:t>
      </w:r>
      <w:r w:rsidR="00D06E1A" w:rsidRPr="009429B4">
        <w:rPr>
          <w:rFonts w:ascii="Times New Roman" w:hAnsi="Times New Roman" w:cs="Times New Roman"/>
          <w:color w:val="000000" w:themeColor="text1"/>
          <w:sz w:val="24"/>
          <w:szCs w:val="24"/>
          <w:lang w:val="pt-PT"/>
        </w:rPr>
        <w:t xml:space="preserve"> gestiune</w:t>
      </w:r>
      <w:r w:rsidRPr="009429B4">
        <w:rPr>
          <w:rFonts w:ascii="Times New Roman" w:hAnsi="Times New Roman" w:cs="Times New Roman"/>
          <w:color w:val="000000" w:themeColor="text1"/>
          <w:sz w:val="24"/>
          <w:szCs w:val="24"/>
          <w:lang w:val="pt-PT"/>
        </w:rPr>
        <w:t>a activului şi pasivului bancar și</w:t>
      </w:r>
      <w:r w:rsidR="00D06E1A" w:rsidRPr="009429B4">
        <w:rPr>
          <w:rFonts w:ascii="Times New Roman" w:hAnsi="Times New Roman" w:cs="Times New Roman"/>
          <w:color w:val="000000" w:themeColor="text1"/>
          <w:sz w:val="24"/>
          <w:szCs w:val="24"/>
          <w:lang w:val="pt-PT"/>
        </w:rPr>
        <w:t xml:space="preserve"> asigurarea transparenţei informaţiilor destinate publicului) este parte integrantă a managementului bancar (concept care impune o anumită politică de comportament şi orientare a acţiunilor umane pentru dezvoltarea optimă şi legală a afacerilor bancare, într-un climat de stabilitate şi creştere a va</w:t>
      </w:r>
      <w:r w:rsidRPr="009429B4">
        <w:rPr>
          <w:rFonts w:ascii="Times New Roman" w:hAnsi="Times New Roman" w:cs="Times New Roman"/>
          <w:color w:val="000000" w:themeColor="text1"/>
          <w:sz w:val="24"/>
          <w:szCs w:val="24"/>
          <w:lang w:val="pt-PT"/>
        </w:rPr>
        <w:t>lorii proprii</w:t>
      </w:r>
      <w:r w:rsidR="00D06E1A" w:rsidRPr="009429B4">
        <w:rPr>
          <w:rFonts w:ascii="Times New Roman" w:hAnsi="Times New Roman" w:cs="Times New Roman"/>
          <w:color w:val="000000" w:themeColor="text1"/>
          <w:sz w:val="24"/>
          <w:szCs w:val="24"/>
          <w:lang w:val="pt-PT"/>
        </w:rPr>
        <w:t xml:space="preserve">, reflectată de creşterea activelor şi a </w:t>
      </w:r>
      <w:r w:rsidR="008953AA">
        <w:rPr>
          <w:rFonts w:ascii="Times New Roman" w:hAnsi="Times New Roman" w:cs="Times New Roman"/>
          <w:color w:val="000000" w:themeColor="text1"/>
          <w:sz w:val="24"/>
          <w:szCs w:val="24"/>
          <w:lang w:val="pt-PT"/>
        </w:rPr>
        <w:t>încrederii publicului în bancă.</w:t>
      </w:r>
      <w:r w:rsidR="00CC05BE">
        <w:rPr>
          <w:rFonts w:ascii="Times New Roman" w:hAnsi="Times New Roman" w:cs="Times New Roman"/>
          <w:color w:val="000000" w:themeColor="text1"/>
          <w:sz w:val="24"/>
          <w:szCs w:val="24"/>
          <w:lang w:val="pt-PT"/>
        </w:rPr>
        <w:t>[3]</w:t>
      </w:r>
    </w:p>
    <w:p w:rsidR="00D06E1A" w:rsidRPr="009429B4" w:rsidRDefault="009429B4" w:rsidP="00D06E1A">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sidRPr="009429B4">
        <w:rPr>
          <w:rFonts w:ascii="Times New Roman" w:hAnsi="Times New Roman" w:cs="Times New Roman"/>
          <w:color w:val="000000" w:themeColor="text1"/>
          <w:sz w:val="24"/>
          <w:szCs w:val="24"/>
          <w:lang w:val="pt-PT"/>
        </w:rPr>
        <w:tab/>
      </w:r>
      <w:r w:rsidR="00D06E1A" w:rsidRPr="009429B4">
        <w:rPr>
          <w:rFonts w:ascii="Times New Roman" w:hAnsi="Times New Roman" w:cs="Times New Roman"/>
          <w:color w:val="000000" w:themeColor="text1"/>
          <w:sz w:val="24"/>
          <w:szCs w:val="24"/>
          <w:lang w:val="pt-PT"/>
        </w:rPr>
        <w:t>În sensul celor mai sus menționate, se deduce faptul că importanța riscurilor (deci implicit a gestionării acestora, cât și diminuarea rezultatelor negative ca urmare a expunerii la risc) influențează, inerent performanța unei bănci, deci dinamica și dezvoltarea acesteia.</w:t>
      </w:r>
    </w:p>
    <w:p w:rsidR="00D06E1A" w:rsidRPr="009429B4" w:rsidRDefault="009429B4" w:rsidP="00D06E1A">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sidRPr="009429B4">
        <w:rPr>
          <w:rFonts w:ascii="Times New Roman" w:hAnsi="Times New Roman" w:cs="Times New Roman"/>
          <w:color w:val="000000" w:themeColor="text1"/>
          <w:sz w:val="24"/>
          <w:szCs w:val="24"/>
          <w:lang w:val="pt-PT"/>
        </w:rPr>
        <w:tab/>
      </w:r>
      <w:r w:rsidR="00D06E1A" w:rsidRPr="009429B4">
        <w:rPr>
          <w:rFonts w:ascii="Times New Roman" w:hAnsi="Times New Roman" w:cs="Times New Roman"/>
          <w:color w:val="000000" w:themeColor="text1"/>
          <w:sz w:val="24"/>
          <w:szCs w:val="24"/>
          <w:lang w:val="pt-PT"/>
        </w:rPr>
        <w:t>Riscul, conform DEX 2009, este definit ca fiind un pericol posibil ori posibilitate de a ajunge într-o primejdie, de a avea de înfruntat un</w:t>
      </w:r>
      <w:r w:rsidRPr="009429B4">
        <w:rPr>
          <w:rFonts w:ascii="Times New Roman" w:hAnsi="Times New Roman" w:cs="Times New Roman"/>
          <w:color w:val="000000" w:themeColor="text1"/>
          <w:sz w:val="24"/>
          <w:szCs w:val="24"/>
          <w:lang w:val="pt-PT"/>
        </w:rPr>
        <w:t xml:space="preserve"> necaz sau de suportat o pagubă.</w:t>
      </w:r>
      <w:r w:rsidR="00497CA2">
        <w:rPr>
          <w:rFonts w:ascii="Times New Roman" w:hAnsi="Times New Roman" w:cs="Times New Roman"/>
          <w:color w:val="000000" w:themeColor="text1"/>
          <w:sz w:val="24"/>
          <w:szCs w:val="24"/>
          <w:lang w:val="pt-PT"/>
        </w:rPr>
        <w:t>[4]</w:t>
      </w:r>
    </w:p>
    <w:p w:rsidR="00D06E1A" w:rsidRPr="009429B4" w:rsidRDefault="009429B4" w:rsidP="00D06E1A">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sidRPr="009429B4">
        <w:rPr>
          <w:rFonts w:ascii="Times New Roman" w:hAnsi="Times New Roman" w:cs="Times New Roman"/>
          <w:color w:val="000000" w:themeColor="text1"/>
          <w:sz w:val="24"/>
          <w:szCs w:val="24"/>
          <w:lang w:val="pt-PT"/>
        </w:rPr>
        <w:tab/>
      </w:r>
      <w:r w:rsidR="00D06E1A" w:rsidRPr="009429B4">
        <w:rPr>
          <w:rFonts w:ascii="Times New Roman" w:hAnsi="Times New Roman" w:cs="Times New Roman"/>
          <w:color w:val="000000" w:themeColor="text1"/>
          <w:sz w:val="24"/>
          <w:szCs w:val="24"/>
          <w:lang w:val="pt-PT"/>
        </w:rPr>
        <w:t>Riscul bancar reprezintă acel element de incertitudine care poate afecta activitatea societăţii bancare sau derularea unei operaţiuni e</w:t>
      </w:r>
      <w:r w:rsidR="008953AA">
        <w:rPr>
          <w:rFonts w:ascii="Times New Roman" w:hAnsi="Times New Roman" w:cs="Times New Roman"/>
          <w:color w:val="000000" w:themeColor="text1"/>
          <w:sz w:val="24"/>
          <w:szCs w:val="24"/>
          <w:lang w:val="pt-PT"/>
        </w:rPr>
        <w:t>conomico-financiare a acesteia.</w:t>
      </w:r>
      <w:r w:rsidR="00981AD7">
        <w:rPr>
          <w:rFonts w:ascii="Times New Roman" w:hAnsi="Times New Roman" w:cs="Times New Roman"/>
          <w:color w:val="000000" w:themeColor="text1"/>
          <w:sz w:val="24"/>
          <w:szCs w:val="24"/>
          <w:lang w:val="pt-PT"/>
        </w:rPr>
        <w:t>[5]</w:t>
      </w:r>
    </w:p>
    <w:p w:rsidR="00D06E1A" w:rsidRPr="009429B4" w:rsidRDefault="009429B4" w:rsidP="00D06E1A">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9429B4">
        <w:rPr>
          <w:rFonts w:ascii="Times New Roman" w:hAnsi="Times New Roman" w:cs="Times New Roman"/>
          <w:color w:val="000000" w:themeColor="text1"/>
          <w:sz w:val="24"/>
          <w:szCs w:val="24"/>
          <w:lang w:val="pt-PT"/>
        </w:rPr>
        <w:tab/>
      </w:r>
      <w:r w:rsidR="00D06E1A" w:rsidRPr="009429B4">
        <w:rPr>
          <w:rFonts w:ascii="Times New Roman" w:hAnsi="Times New Roman" w:cs="Times New Roman"/>
          <w:color w:val="000000" w:themeColor="text1"/>
          <w:sz w:val="24"/>
          <w:szCs w:val="24"/>
          <w:lang w:val="pt-PT"/>
        </w:rPr>
        <w:t>Deși literatura de specialitate în domeniu ne arată că există diferite moduri/criterii de clasificare a riscurilor bancare, definite ca pierderi asociate unor evoluţii adverse a rezultatelor, acestea nu</w:t>
      </w:r>
      <w:r w:rsidR="00CA60B1">
        <w:rPr>
          <w:rFonts w:ascii="Times New Roman" w:hAnsi="Times New Roman" w:cs="Times New Roman"/>
          <w:color w:val="000000" w:themeColor="text1"/>
          <w:sz w:val="24"/>
          <w:szCs w:val="24"/>
          <w:lang w:val="pt-PT"/>
        </w:rPr>
        <w:t xml:space="preserve"> sunt stabile/fixe, ci au o mare varietate</w:t>
      </w:r>
      <w:r w:rsidR="00D06E1A" w:rsidRPr="009429B4">
        <w:rPr>
          <w:rFonts w:ascii="Times New Roman" w:hAnsi="Times New Roman" w:cs="Times New Roman"/>
          <w:color w:val="000000" w:themeColor="text1"/>
          <w:sz w:val="24"/>
          <w:szCs w:val="24"/>
          <w:lang w:val="pt-PT"/>
        </w:rPr>
        <w:t xml:space="preserve">, fiind asociate, în structură, schimbărilor mediului și universului bancar, dimensiunii și dinamicii acestuia. Riscul bancar este structurat pe următoarele componente: </w:t>
      </w:r>
      <w:r w:rsidR="00D06E1A" w:rsidRPr="009429B4">
        <w:rPr>
          <w:rFonts w:ascii="Times New Roman" w:hAnsi="Times New Roman" w:cs="Times New Roman"/>
          <w:i/>
          <w:iCs/>
          <w:color w:val="000000" w:themeColor="text1"/>
          <w:sz w:val="24"/>
          <w:szCs w:val="24"/>
          <w:lang w:val="ro-RO"/>
        </w:rPr>
        <w:t>i</w:t>
      </w:r>
      <w:r w:rsidR="00D06E1A" w:rsidRPr="009429B4">
        <w:rPr>
          <w:rFonts w:ascii="Times New Roman" w:hAnsi="Times New Roman" w:cs="Times New Roman"/>
          <w:i/>
          <w:iCs/>
          <w:color w:val="000000" w:themeColor="text1"/>
          <w:sz w:val="24"/>
          <w:szCs w:val="24"/>
          <w:lang w:val="pt-PT"/>
        </w:rPr>
        <w:t xml:space="preserve">ncertitudinea </w:t>
      </w:r>
      <w:r w:rsidR="00D06E1A" w:rsidRPr="009429B4">
        <w:rPr>
          <w:rFonts w:ascii="Times New Roman" w:hAnsi="Times New Roman" w:cs="Times New Roman"/>
          <w:color w:val="000000" w:themeColor="text1"/>
          <w:sz w:val="24"/>
          <w:szCs w:val="24"/>
          <w:lang w:val="pt-PT"/>
        </w:rPr>
        <w:t xml:space="preserve">privind producerea unui eveniment în viitor și </w:t>
      </w:r>
      <w:r w:rsidR="00D06E1A" w:rsidRPr="00F61B12">
        <w:rPr>
          <w:rFonts w:ascii="Times New Roman" w:hAnsi="Times New Roman" w:cs="Times New Roman"/>
          <w:i/>
          <w:color w:val="000000" w:themeColor="text1"/>
          <w:sz w:val="24"/>
          <w:szCs w:val="24"/>
          <w:lang w:val="pt-PT"/>
        </w:rPr>
        <w:t>expunerea la pierdere</w:t>
      </w:r>
      <w:r w:rsidR="00CA60B1">
        <w:rPr>
          <w:rFonts w:ascii="Times New Roman" w:hAnsi="Times New Roman" w:cs="Times New Roman"/>
          <w:i/>
          <w:color w:val="000000" w:themeColor="text1"/>
          <w:sz w:val="24"/>
          <w:szCs w:val="24"/>
          <w:lang w:val="pt-PT"/>
        </w:rPr>
        <w:t xml:space="preserve">, </w:t>
      </w:r>
      <w:r w:rsidR="00CA60B1" w:rsidRPr="00CA60B1">
        <w:rPr>
          <w:rFonts w:ascii="Times New Roman" w:hAnsi="Times New Roman" w:cs="Times New Roman"/>
          <w:color w:val="000000" w:themeColor="text1"/>
          <w:sz w:val="24"/>
          <w:szCs w:val="24"/>
          <w:lang w:val="pt-PT"/>
        </w:rPr>
        <w:t>așa cum se prezintă în figura următoare</w:t>
      </w:r>
      <w:r w:rsidR="00CA60B1">
        <w:rPr>
          <w:rFonts w:ascii="Times New Roman" w:hAnsi="Times New Roman" w:cs="Times New Roman"/>
          <w:color w:val="000000" w:themeColor="text1"/>
          <w:sz w:val="24"/>
          <w:szCs w:val="24"/>
          <w:lang w:val="pt-PT"/>
        </w:rPr>
        <w:t>:</w:t>
      </w:r>
    </w:p>
    <w:p w:rsidR="00D06E1A" w:rsidRPr="00D06E1A" w:rsidRDefault="00D06E1A" w:rsidP="009429B4">
      <w:pPr>
        <w:autoSpaceDE w:val="0"/>
        <w:autoSpaceDN w:val="0"/>
        <w:adjustRightInd w:val="0"/>
        <w:spacing w:after="0" w:line="240" w:lineRule="auto"/>
        <w:jc w:val="center"/>
        <w:rPr>
          <w:rFonts w:ascii="Times New Roman" w:hAnsi="Times New Roman" w:cs="Times New Roman"/>
          <w:b/>
          <w:color w:val="000000" w:themeColor="text1"/>
          <w:sz w:val="24"/>
          <w:szCs w:val="24"/>
          <w:lang w:val="pt-PT"/>
        </w:rPr>
      </w:pPr>
      <w:r w:rsidRPr="00D06E1A">
        <w:rPr>
          <w:rFonts w:ascii="Times New Roman" w:hAnsi="Times New Roman" w:cs="Times New Roman"/>
          <w:b/>
          <w:noProof/>
          <w:color w:val="000000" w:themeColor="text1"/>
          <w:sz w:val="24"/>
          <w:szCs w:val="24"/>
          <w:lang w:val="ro-RO" w:eastAsia="ro-RO"/>
        </w:rPr>
        <w:drawing>
          <wp:inline distT="0" distB="0" distL="0" distR="0" wp14:anchorId="0B85EF83" wp14:editId="2C421EC7">
            <wp:extent cx="3196425" cy="1439186"/>
            <wp:effectExtent l="0" t="57150" r="0" b="88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61B12" w:rsidRDefault="009429B4" w:rsidP="00D06E1A">
      <w:pPr>
        <w:autoSpaceDE w:val="0"/>
        <w:autoSpaceDN w:val="0"/>
        <w:adjustRightInd w:val="0"/>
        <w:spacing w:after="0" w:line="240" w:lineRule="auto"/>
        <w:jc w:val="both"/>
        <w:rPr>
          <w:rFonts w:ascii="Times New Roman" w:hAnsi="Times New Roman" w:cs="Times New Roman"/>
          <w:b/>
          <w:color w:val="000000" w:themeColor="text1"/>
          <w:sz w:val="24"/>
          <w:szCs w:val="24"/>
          <w:lang w:val="pt-PT"/>
        </w:rPr>
      </w:pPr>
      <w:r>
        <w:rPr>
          <w:rFonts w:ascii="Times New Roman" w:hAnsi="Times New Roman" w:cs="Times New Roman"/>
          <w:b/>
          <w:color w:val="000000" w:themeColor="text1"/>
          <w:sz w:val="24"/>
          <w:szCs w:val="24"/>
          <w:lang w:val="pt-PT"/>
        </w:rPr>
        <w:tab/>
      </w:r>
    </w:p>
    <w:p w:rsidR="00F61B12" w:rsidRPr="00314875" w:rsidRDefault="00F61B12" w:rsidP="00F61B12">
      <w:pPr>
        <w:autoSpaceDE w:val="0"/>
        <w:autoSpaceDN w:val="0"/>
        <w:adjustRightInd w:val="0"/>
        <w:spacing w:after="0" w:line="240" w:lineRule="auto"/>
        <w:jc w:val="center"/>
        <w:rPr>
          <w:rFonts w:ascii="Times New Roman" w:hAnsi="Times New Roman" w:cs="Times New Roman"/>
          <w:b/>
          <w:color w:val="000000" w:themeColor="text1"/>
          <w:sz w:val="24"/>
          <w:szCs w:val="24"/>
          <w:lang w:val="pt-PT"/>
        </w:rPr>
      </w:pPr>
      <w:r w:rsidRPr="00314875">
        <w:rPr>
          <w:rFonts w:ascii="Times New Roman" w:hAnsi="Times New Roman" w:cs="Times New Roman"/>
          <w:b/>
          <w:color w:val="000000" w:themeColor="text1"/>
          <w:sz w:val="24"/>
          <w:szCs w:val="24"/>
          <w:lang w:val="pt-PT"/>
        </w:rPr>
        <w:t>Figura nr. 1 Componentele riscului bancar</w:t>
      </w:r>
    </w:p>
    <w:p w:rsidR="00F61B12" w:rsidRDefault="00F61B12" w:rsidP="00D06E1A">
      <w:pPr>
        <w:autoSpaceDE w:val="0"/>
        <w:autoSpaceDN w:val="0"/>
        <w:adjustRightInd w:val="0"/>
        <w:spacing w:after="0" w:line="240" w:lineRule="auto"/>
        <w:jc w:val="both"/>
        <w:rPr>
          <w:rFonts w:ascii="Times New Roman" w:hAnsi="Times New Roman" w:cs="Times New Roman"/>
          <w:b/>
          <w:color w:val="000000" w:themeColor="text1"/>
          <w:sz w:val="24"/>
          <w:szCs w:val="24"/>
          <w:lang w:val="pt-PT"/>
        </w:rPr>
      </w:pPr>
    </w:p>
    <w:p w:rsidR="00D06E1A" w:rsidRPr="00CF2AAD" w:rsidRDefault="00D37F7C" w:rsidP="00D06E1A">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ab/>
      </w:r>
      <w:r w:rsidR="00D06E1A" w:rsidRPr="009429B4">
        <w:rPr>
          <w:rFonts w:ascii="Times New Roman" w:hAnsi="Times New Roman" w:cs="Times New Roman"/>
          <w:color w:val="000000" w:themeColor="text1"/>
          <w:sz w:val="24"/>
          <w:szCs w:val="24"/>
          <w:lang w:val="pt-PT"/>
        </w:rPr>
        <w:t xml:space="preserve">Dacă nu se manifestă ambele componente, nu putem vorbi de risc. De exemplu, o bancă ce acordă un împrumut se confruntă cu incertitudinea rambursării la scadenţă, chiar </w:t>
      </w:r>
      <w:r w:rsidR="00D06E1A" w:rsidRPr="009429B4">
        <w:rPr>
          <w:rFonts w:ascii="Times New Roman" w:hAnsi="Times New Roman" w:cs="Times New Roman"/>
          <w:color w:val="000000" w:themeColor="text1"/>
          <w:sz w:val="24"/>
          <w:szCs w:val="24"/>
          <w:lang w:val="pt-PT"/>
        </w:rPr>
        <w:lastRenderedPageBreak/>
        <w:t>dacă există garanţia, datorită posibilităţii reducerii valorii acesteia în timp şi/sau a</w:t>
      </w:r>
      <w:r w:rsidR="00D06E1A" w:rsidRPr="00D06E1A">
        <w:rPr>
          <w:rFonts w:ascii="Times New Roman" w:hAnsi="Times New Roman" w:cs="Times New Roman"/>
          <w:b/>
          <w:color w:val="000000" w:themeColor="text1"/>
          <w:sz w:val="24"/>
          <w:szCs w:val="24"/>
          <w:lang w:val="pt-PT"/>
        </w:rPr>
        <w:t xml:space="preserve"> </w:t>
      </w:r>
      <w:r w:rsidR="00D06E1A" w:rsidRPr="009429B4">
        <w:rPr>
          <w:rFonts w:ascii="Times New Roman" w:hAnsi="Times New Roman" w:cs="Times New Roman"/>
          <w:color w:val="000000" w:themeColor="text1"/>
          <w:sz w:val="24"/>
          <w:szCs w:val="24"/>
          <w:lang w:val="pt-PT"/>
        </w:rPr>
        <w:t xml:space="preserve">mărimii </w:t>
      </w:r>
      <w:r w:rsidR="00D06E1A" w:rsidRPr="00CF2AAD">
        <w:rPr>
          <w:rFonts w:ascii="Times New Roman" w:hAnsi="Times New Roman" w:cs="Times New Roman"/>
          <w:color w:val="000000" w:themeColor="text1"/>
          <w:sz w:val="24"/>
          <w:szCs w:val="24"/>
          <w:lang w:val="pt-PT"/>
        </w:rPr>
        <w:t>costurilor de execuţie a acesteia. Banca îşi asumă riscul deoarece este expusă la incertitudine.</w:t>
      </w:r>
      <w:r>
        <w:rPr>
          <w:rFonts w:ascii="Times New Roman" w:hAnsi="Times New Roman" w:cs="Times New Roman"/>
          <w:color w:val="000000" w:themeColor="text1"/>
          <w:sz w:val="24"/>
          <w:szCs w:val="24"/>
          <w:lang w:val="pt-PT"/>
        </w:rPr>
        <w:t>[6]</w:t>
      </w:r>
    </w:p>
    <w:p w:rsidR="00AF3C1A" w:rsidRPr="00A7460B" w:rsidRDefault="00CF2AAD" w:rsidP="00D06E1A">
      <w:pPr>
        <w:autoSpaceDE w:val="0"/>
        <w:autoSpaceDN w:val="0"/>
        <w:adjustRightInd w:val="0"/>
        <w:spacing w:after="0" w:line="240" w:lineRule="auto"/>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ab/>
      </w:r>
      <w:r w:rsidR="00D06E1A" w:rsidRPr="00CF2AAD">
        <w:rPr>
          <w:rFonts w:ascii="Times New Roman" w:hAnsi="Times New Roman" w:cs="Times New Roman"/>
          <w:color w:val="000000" w:themeColor="text1"/>
          <w:sz w:val="24"/>
          <w:szCs w:val="24"/>
          <w:lang w:val="pt-PT"/>
        </w:rPr>
        <w:t>În continuare prezentăm indicatorii de analiză ai riscului bancar, sau așa</w:t>
      </w:r>
      <w:r w:rsidR="00D06E1A" w:rsidRPr="0071792D">
        <w:rPr>
          <w:rFonts w:ascii="Times New Roman" w:hAnsi="Times New Roman" w:cs="Times New Roman"/>
          <w:b/>
          <w:color w:val="000000" w:themeColor="text1"/>
          <w:sz w:val="24"/>
          <w:szCs w:val="24"/>
          <w:lang w:val="pt-PT"/>
        </w:rPr>
        <w:t>-</w:t>
      </w:r>
      <w:r w:rsidR="00D06E1A" w:rsidRPr="00CF2AAD">
        <w:rPr>
          <w:rFonts w:ascii="Times New Roman" w:hAnsi="Times New Roman" w:cs="Times New Roman"/>
          <w:color w:val="000000" w:themeColor="text1"/>
          <w:sz w:val="24"/>
          <w:szCs w:val="24"/>
          <w:lang w:val="pt-PT"/>
        </w:rPr>
        <w:t xml:space="preserve">numiții </w:t>
      </w:r>
      <w:r w:rsidR="00D06E1A" w:rsidRPr="00CF2AAD">
        <w:rPr>
          <w:rFonts w:ascii="Times New Roman" w:hAnsi="Times New Roman" w:cs="Times New Roman"/>
          <w:i/>
          <w:color w:val="000000" w:themeColor="text1"/>
          <w:sz w:val="24"/>
          <w:szCs w:val="24"/>
          <w:lang w:val="pt-PT"/>
        </w:rPr>
        <w:t xml:space="preserve">indicatori de risc bancar, </w:t>
      </w:r>
      <w:r w:rsidR="003A2692">
        <w:rPr>
          <w:rFonts w:ascii="Times New Roman" w:hAnsi="Times New Roman" w:cs="Times New Roman"/>
          <w:color w:val="000000" w:themeColor="text1"/>
          <w:sz w:val="24"/>
          <w:szCs w:val="24"/>
          <w:lang w:val="pt-PT"/>
        </w:rPr>
        <w:t xml:space="preserve">în accepțiunea EBA, </w:t>
      </w:r>
      <w:r w:rsidR="00D06E1A" w:rsidRPr="00CF2AAD">
        <w:rPr>
          <w:rFonts w:ascii="Times New Roman" w:hAnsi="Times New Roman" w:cs="Times New Roman"/>
          <w:color w:val="000000" w:themeColor="text1"/>
          <w:sz w:val="24"/>
          <w:szCs w:val="24"/>
          <w:lang w:val="pt-PT"/>
        </w:rPr>
        <w:t xml:space="preserve">o realitate structurată pe trei componente: </w:t>
      </w:r>
      <w:r w:rsidR="00D06E1A" w:rsidRPr="00A7460B">
        <w:rPr>
          <w:rFonts w:ascii="Times New Roman" w:hAnsi="Times New Roman" w:cs="Times New Roman"/>
          <w:color w:val="000000" w:themeColor="text1"/>
          <w:sz w:val="24"/>
          <w:szCs w:val="24"/>
          <w:lang w:val="pt-PT"/>
        </w:rPr>
        <w:t>riscurile de capital, riscur</w:t>
      </w:r>
      <w:r w:rsidR="00314875">
        <w:rPr>
          <w:rFonts w:ascii="Times New Roman" w:hAnsi="Times New Roman" w:cs="Times New Roman"/>
          <w:color w:val="000000" w:themeColor="text1"/>
          <w:sz w:val="24"/>
          <w:szCs w:val="24"/>
          <w:lang w:val="pt-PT"/>
        </w:rPr>
        <w:t>ile de lichiditate și finanțare și</w:t>
      </w:r>
      <w:r w:rsidR="00D06E1A" w:rsidRPr="00A7460B">
        <w:rPr>
          <w:rFonts w:ascii="Times New Roman" w:hAnsi="Times New Roman" w:cs="Times New Roman"/>
          <w:color w:val="000000" w:themeColor="text1"/>
          <w:sz w:val="24"/>
          <w:szCs w:val="24"/>
          <w:lang w:val="pt-PT"/>
        </w:rPr>
        <w:t xml:space="preserve"> riscurile mediului în</w:t>
      </w:r>
      <w:r w:rsidR="00A7460B">
        <w:rPr>
          <w:rFonts w:ascii="Times New Roman" w:hAnsi="Times New Roman" w:cs="Times New Roman"/>
          <w:color w:val="000000" w:themeColor="text1"/>
          <w:sz w:val="24"/>
          <w:szCs w:val="24"/>
          <w:lang w:val="pt-PT"/>
        </w:rPr>
        <w:t>conjurător:</w:t>
      </w:r>
    </w:p>
    <w:p w:rsidR="00B17DD6" w:rsidRPr="00314875" w:rsidRDefault="00D06E1A" w:rsidP="00CF2AAD">
      <w:pPr>
        <w:autoSpaceDE w:val="0"/>
        <w:autoSpaceDN w:val="0"/>
        <w:adjustRightInd w:val="0"/>
        <w:spacing w:after="0" w:line="240" w:lineRule="auto"/>
        <w:jc w:val="center"/>
        <w:rPr>
          <w:rFonts w:ascii="Times New Roman" w:hAnsi="Times New Roman" w:cs="Times New Roman"/>
          <w:b/>
          <w:sz w:val="24"/>
          <w:szCs w:val="24"/>
          <w:lang w:val="pt-PT"/>
        </w:rPr>
      </w:pPr>
      <w:r w:rsidRPr="00314875">
        <w:rPr>
          <w:rFonts w:ascii="Times New Roman" w:hAnsi="Times New Roman" w:cs="Times New Roman"/>
          <w:b/>
          <w:sz w:val="24"/>
          <w:szCs w:val="24"/>
          <w:lang w:val="pt-PT"/>
        </w:rPr>
        <w:t>Tabel</w:t>
      </w:r>
      <w:r w:rsidR="00A7460B" w:rsidRPr="00314875">
        <w:rPr>
          <w:rFonts w:ascii="Times New Roman" w:hAnsi="Times New Roman" w:cs="Times New Roman"/>
          <w:b/>
          <w:sz w:val="24"/>
          <w:szCs w:val="24"/>
          <w:lang w:val="pt-PT"/>
        </w:rPr>
        <w:t>ul</w:t>
      </w:r>
      <w:r w:rsidR="00314875">
        <w:rPr>
          <w:rFonts w:ascii="Times New Roman" w:hAnsi="Times New Roman" w:cs="Times New Roman"/>
          <w:b/>
          <w:sz w:val="24"/>
          <w:szCs w:val="24"/>
          <w:lang w:val="pt-PT"/>
        </w:rPr>
        <w:t xml:space="preserve"> nr. 1</w:t>
      </w:r>
      <w:r w:rsidRPr="00314875">
        <w:rPr>
          <w:rFonts w:ascii="Times New Roman" w:hAnsi="Times New Roman" w:cs="Times New Roman"/>
          <w:b/>
          <w:sz w:val="24"/>
          <w:szCs w:val="24"/>
          <w:lang w:val="pt-PT"/>
        </w:rPr>
        <w:t xml:space="preserve"> Componente ale riscului, tipuri de risc și factori de risc în optica EBA</w:t>
      </w:r>
    </w:p>
    <w:tbl>
      <w:tblPr>
        <w:tblStyle w:val="TableGrid"/>
        <w:tblW w:w="9214" w:type="dxa"/>
        <w:tblInd w:w="108" w:type="dxa"/>
        <w:tblLook w:val="04A0" w:firstRow="1" w:lastRow="0" w:firstColumn="1" w:lastColumn="0" w:noHBand="0" w:noVBand="1"/>
      </w:tblPr>
      <w:tblGrid>
        <w:gridCol w:w="1134"/>
        <w:gridCol w:w="2949"/>
        <w:gridCol w:w="5131"/>
      </w:tblGrid>
      <w:tr w:rsidR="00D06E1A" w:rsidRPr="00D06E1A" w:rsidTr="0071792D">
        <w:tc>
          <w:tcPr>
            <w:tcW w:w="1134" w:type="dxa"/>
            <w:vMerge w:val="restart"/>
            <w:shd w:val="clear" w:color="auto" w:fill="EEECE1" w:themeFill="background2"/>
            <w:textDirection w:val="btLr"/>
            <w:vAlign w:val="center"/>
          </w:tcPr>
          <w:p w:rsidR="00D06E1A" w:rsidRPr="00CF2AAD" w:rsidRDefault="00D06E1A" w:rsidP="00A7460B">
            <w:pPr>
              <w:autoSpaceDE w:val="0"/>
              <w:autoSpaceDN w:val="0"/>
              <w:adjustRightInd w:val="0"/>
              <w:jc w:val="center"/>
              <w:rPr>
                <w:rFonts w:ascii="Times New Roman" w:hAnsi="Times New Roman" w:cs="Times New Roman"/>
                <w:b/>
                <w:color w:val="000000" w:themeColor="text1"/>
                <w:sz w:val="20"/>
                <w:szCs w:val="20"/>
                <w:lang w:val="pt-PT"/>
              </w:rPr>
            </w:pPr>
            <w:r w:rsidRPr="00CF2AAD">
              <w:rPr>
                <w:rFonts w:ascii="Times New Roman" w:hAnsi="Times New Roman" w:cs="Times New Roman"/>
                <w:b/>
                <w:color w:val="000000" w:themeColor="text1"/>
                <w:sz w:val="20"/>
                <w:szCs w:val="20"/>
                <w:lang w:val="pt-PT"/>
              </w:rPr>
              <w:t>CAPITAL</w:t>
            </w:r>
          </w:p>
        </w:tc>
        <w:tc>
          <w:tcPr>
            <w:tcW w:w="2949" w:type="dxa"/>
            <w:shd w:val="clear" w:color="auto" w:fill="EEECE1" w:themeFill="background2"/>
            <w:vAlign w:val="center"/>
          </w:tcPr>
          <w:p w:rsidR="00D06E1A" w:rsidRPr="00CF2AAD" w:rsidRDefault="00D06E1A" w:rsidP="0071792D">
            <w:pPr>
              <w:autoSpaceDE w:val="0"/>
              <w:autoSpaceDN w:val="0"/>
              <w:adjustRightInd w:val="0"/>
              <w:jc w:val="center"/>
              <w:rPr>
                <w:rFonts w:ascii="Times New Roman" w:hAnsi="Times New Roman" w:cs="Times New Roman"/>
                <w:b/>
                <w:color w:val="000000" w:themeColor="text1"/>
                <w:sz w:val="20"/>
                <w:szCs w:val="20"/>
                <w:lang w:val="pt-PT"/>
              </w:rPr>
            </w:pPr>
            <w:r w:rsidRPr="00CF2AAD">
              <w:rPr>
                <w:rFonts w:ascii="Times New Roman" w:hAnsi="Times New Roman" w:cs="Times New Roman"/>
                <w:b/>
                <w:color w:val="000000" w:themeColor="text1"/>
                <w:sz w:val="20"/>
                <w:szCs w:val="20"/>
                <w:lang w:val="pt-PT"/>
              </w:rPr>
              <w:t>Tipuri de risc</w:t>
            </w:r>
          </w:p>
        </w:tc>
        <w:tc>
          <w:tcPr>
            <w:tcW w:w="5131" w:type="dxa"/>
            <w:shd w:val="clear" w:color="auto" w:fill="EEECE1" w:themeFill="background2"/>
            <w:vAlign w:val="center"/>
          </w:tcPr>
          <w:p w:rsidR="00D06E1A" w:rsidRPr="00CF2AAD" w:rsidRDefault="00D06E1A" w:rsidP="0071792D">
            <w:pPr>
              <w:autoSpaceDE w:val="0"/>
              <w:autoSpaceDN w:val="0"/>
              <w:adjustRightInd w:val="0"/>
              <w:jc w:val="center"/>
              <w:rPr>
                <w:rFonts w:ascii="Times New Roman" w:hAnsi="Times New Roman" w:cs="Times New Roman"/>
                <w:b/>
                <w:color w:val="000000" w:themeColor="text1"/>
                <w:sz w:val="20"/>
                <w:szCs w:val="20"/>
                <w:lang w:val="pt-PT"/>
              </w:rPr>
            </w:pPr>
            <w:r w:rsidRPr="00CF2AAD">
              <w:rPr>
                <w:rFonts w:ascii="Times New Roman" w:hAnsi="Times New Roman" w:cs="Times New Roman"/>
                <w:b/>
                <w:color w:val="000000" w:themeColor="text1"/>
                <w:sz w:val="20"/>
                <w:szCs w:val="20"/>
                <w:lang w:val="pt-PT"/>
              </w:rPr>
              <w:t>Factori de risc/vuln</w:t>
            </w:r>
            <w:r w:rsidR="0071792D">
              <w:rPr>
                <w:rFonts w:ascii="Times New Roman" w:hAnsi="Times New Roman" w:cs="Times New Roman"/>
                <w:b/>
                <w:color w:val="000000" w:themeColor="text1"/>
                <w:sz w:val="20"/>
                <w:szCs w:val="20"/>
                <w:lang w:val="pt-PT"/>
              </w:rPr>
              <w:t>erabilități</w:t>
            </w:r>
          </w:p>
        </w:tc>
      </w:tr>
      <w:tr w:rsidR="00D06E1A" w:rsidRPr="00D06E1A" w:rsidTr="00A7460B">
        <w:tc>
          <w:tcPr>
            <w:tcW w:w="1134" w:type="dxa"/>
            <w:vMerge/>
            <w:shd w:val="clear" w:color="auto" w:fill="EEECE1" w:themeFill="background2"/>
            <w:textDirection w:val="btLr"/>
          </w:tcPr>
          <w:p w:rsidR="00D06E1A" w:rsidRPr="00D06E1A" w:rsidRDefault="00D06E1A" w:rsidP="00D06E1A">
            <w:pPr>
              <w:autoSpaceDE w:val="0"/>
              <w:autoSpaceDN w:val="0"/>
              <w:adjustRightInd w:val="0"/>
              <w:jc w:val="both"/>
              <w:rPr>
                <w:rFonts w:ascii="Times New Roman" w:hAnsi="Times New Roman" w:cs="Times New Roman"/>
                <w:b/>
                <w:color w:val="000000" w:themeColor="text1"/>
                <w:sz w:val="24"/>
                <w:szCs w:val="24"/>
                <w:lang w:val="pt-PT"/>
              </w:rPr>
            </w:pPr>
          </w:p>
        </w:tc>
        <w:tc>
          <w:tcPr>
            <w:tcW w:w="2949" w:type="dxa"/>
            <w:vAlign w:val="center"/>
          </w:tcPr>
          <w:p w:rsidR="00D06E1A" w:rsidRPr="00CF2AAD" w:rsidRDefault="00D06E1A" w:rsidP="00CF2AAD">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lang w:val="pt-PT"/>
              </w:rPr>
              <w:t>Riscul de credit</w:t>
            </w:r>
          </w:p>
        </w:tc>
        <w:tc>
          <w:tcPr>
            <w:tcW w:w="5131" w:type="dxa"/>
          </w:tcPr>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credite</w:t>
            </w:r>
            <w:r w:rsidR="00A7460B">
              <w:rPr>
                <w:rFonts w:ascii="Times New Roman" w:hAnsi="Times New Roman" w:cs="Times New Roman"/>
                <w:color w:val="000000" w:themeColor="text1"/>
                <w:sz w:val="20"/>
                <w:szCs w:val="20"/>
                <w:lang w:val="fr-FR"/>
              </w:rPr>
              <w:t>le neperformante rămân ridicate</w:t>
            </w:r>
          </w:p>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există i</w:t>
            </w:r>
            <w:r w:rsidR="00A7460B">
              <w:rPr>
                <w:rFonts w:ascii="Times New Roman" w:hAnsi="Times New Roman" w:cs="Times New Roman"/>
                <w:color w:val="000000" w:themeColor="text1"/>
                <w:sz w:val="20"/>
                <w:szCs w:val="20"/>
                <w:lang w:val="fr-FR"/>
              </w:rPr>
              <w:t>mpedimente pentru reducerea NPL</w:t>
            </w:r>
          </w:p>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 xml:space="preserve">riscul unor </w:t>
            </w:r>
            <w:r w:rsidR="00A7460B">
              <w:rPr>
                <w:rFonts w:ascii="Times New Roman" w:hAnsi="Times New Roman" w:cs="Times New Roman"/>
                <w:color w:val="000000" w:themeColor="text1"/>
                <w:sz w:val="20"/>
                <w:szCs w:val="20"/>
                <w:lang w:val="fr-FR"/>
              </w:rPr>
              <w:t>niveluri ridicate de îndatorare</w:t>
            </w:r>
          </w:p>
        </w:tc>
      </w:tr>
      <w:tr w:rsidR="00D06E1A" w:rsidRPr="00D06E1A" w:rsidTr="00191A89">
        <w:tc>
          <w:tcPr>
            <w:tcW w:w="1134" w:type="dxa"/>
            <w:vMerge/>
            <w:shd w:val="clear" w:color="auto" w:fill="EEECE1" w:themeFill="background2"/>
          </w:tcPr>
          <w:p w:rsidR="00D06E1A" w:rsidRPr="00D06E1A" w:rsidRDefault="00D06E1A" w:rsidP="00D06E1A">
            <w:pPr>
              <w:autoSpaceDE w:val="0"/>
              <w:autoSpaceDN w:val="0"/>
              <w:adjustRightInd w:val="0"/>
              <w:jc w:val="both"/>
              <w:rPr>
                <w:rFonts w:ascii="Times New Roman" w:hAnsi="Times New Roman" w:cs="Times New Roman"/>
                <w:b/>
                <w:color w:val="000000" w:themeColor="text1"/>
                <w:sz w:val="24"/>
                <w:szCs w:val="24"/>
                <w:lang w:val="pt-PT"/>
              </w:rPr>
            </w:pPr>
          </w:p>
        </w:tc>
        <w:tc>
          <w:tcPr>
            <w:tcW w:w="2949" w:type="dxa"/>
            <w:shd w:val="clear" w:color="auto" w:fill="DDD9C3" w:themeFill="background2" w:themeFillShade="E6"/>
            <w:vAlign w:val="center"/>
          </w:tcPr>
          <w:p w:rsidR="00D06E1A" w:rsidRPr="00CF2AAD" w:rsidRDefault="00D06E1A" w:rsidP="00CF2AAD">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rPr>
              <w:t>Riscul de piață</w:t>
            </w:r>
          </w:p>
        </w:tc>
        <w:tc>
          <w:tcPr>
            <w:tcW w:w="5131" w:type="dxa"/>
            <w:shd w:val="clear" w:color="auto" w:fill="DDD9C3" w:themeFill="background2" w:themeFillShade="E6"/>
          </w:tcPr>
          <w:p w:rsidR="00D06E1A" w:rsidRPr="00CF2AAD" w:rsidRDefault="00A7460B"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lang w:val="fr-FR"/>
              </w:rPr>
              <w:t>riscul creșterii volatilității</w:t>
            </w:r>
          </w:p>
          <w:p w:rsidR="00D06E1A" w:rsidRPr="00CF2AAD" w:rsidRDefault="00A7460B"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lang w:val="fr-FR"/>
              </w:rPr>
              <w:t>lichiditatea pieței</w:t>
            </w:r>
          </w:p>
          <w:p w:rsidR="00D06E1A" w:rsidRPr="00CF2AAD" w:rsidRDefault="00A7460B"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lang w:val="fr-FR"/>
              </w:rPr>
              <w:t xml:space="preserve"> potențialul de reevaluare</w:t>
            </w:r>
          </w:p>
        </w:tc>
      </w:tr>
      <w:tr w:rsidR="00D06E1A" w:rsidRPr="00D06E1A" w:rsidTr="00A7460B">
        <w:tc>
          <w:tcPr>
            <w:tcW w:w="1134" w:type="dxa"/>
            <w:vMerge/>
            <w:shd w:val="clear" w:color="auto" w:fill="EEECE1" w:themeFill="background2"/>
          </w:tcPr>
          <w:p w:rsidR="00D06E1A" w:rsidRPr="00D06E1A" w:rsidRDefault="00D06E1A" w:rsidP="00D06E1A">
            <w:pPr>
              <w:autoSpaceDE w:val="0"/>
              <w:autoSpaceDN w:val="0"/>
              <w:adjustRightInd w:val="0"/>
              <w:jc w:val="both"/>
              <w:rPr>
                <w:rFonts w:ascii="Times New Roman" w:hAnsi="Times New Roman" w:cs="Times New Roman"/>
                <w:b/>
                <w:color w:val="000000" w:themeColor="text1"/>
                <w:sz w:val="24"/>
                <w:szCs w:val="24"/>
                <w:lang w:val="pt-PT"/>
              </w:rPr>
            </w:pPr>
          </w:p>
        </w:tc>
        <w:tc>
          <w:tcPr>
            <w:tcW w:w="2949" w:type="dxa"/>
            <w:vAlign w:val="center"/>
          </w:tcPr>
          <w:p w:rsidR="00D06E1A" w:rsidRPr="00CF2AAD" w:rsidRDefault="00D06E1A" w:rsidP="00CF2AAD">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rPr>
              <w:t>Riscul operațional</w:t>
            </w:r>
          </w:p>
        </w:tc>
        <w:tc>
          <w:tcPr>
            <w:tcW w:w="5131" w:type="dxa"/>
          </w:tcPr>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pt-PT"/>
              </w:rPr>
              <w:t>a</w:t>
            </w:r>
            <w:r w:rsidRPr="00CF2AAD">
              <w:rPr>
                <w:rFonts w:ascii="Times New Roman" w:hAnsi="Times New Roman" w:cs="Times New Roman"/>
                <w:color w:val="000000" w:themeColor="text1"/>
                <w:sz w:val="20"/>
                <w:szCs w:val="20"/>
                <w:lang w:val="fr-FR"/>
              </w:rPr>
              <w:t xml:space="preserve">tacurile </w:t>
            </w:r>
            <w:r w:rsidR="00A7460B">
              <w:rPr>
                <w:rFonts w:ascii="Times New Roman" w:hAnsi="Times New Roman" w:cs="Times New Roman"/>
                <w:color w:val="000000" w:themeColor="text1"/>
                <w:sz w:val="20"/>
                <w:szCs w:val="20"/>
                <w:lang w:val="fr-FR"/>
              </w:rPr>
              <w:t>cibernetice</w:t>
            </w:r>
          </w:p>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presiunea costurilor ca obstacol în calea constru</w:t>
            </w:r>
            <w:r w:rsidR="00A7460B">
              <w:rPr>
                <w:rFonts w:ascii="Times New Roman" w:hAnsi="Times New Roman" w:cs="Times New Roman"/>
                <w:color w:val="000000" w:themeColor="text1"/>
                <w:sz w:val="20"/>
                <w:szCs w:val="20"/>
                <w:lang w:val="fr-FR"/>
              </w:rPr>
              <w:t>irii unor sisteme TIC sănătoase</w:t>
            </w:r>
          </w:p>
          <w:p w:rsidR="00D06E1A" w:rsidRPr="00CF2AAD" w:rsidRDefault="00A7460B"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lang w:val="fr-FR"/>
              </w:rPr>
              <w:t>outsourcing-ul</w:t>
            </w:r>
          </w:p>
        </w:tc>
      </w:tr>
      <w:tr w:rsidR="00D06E1A" w:rsidRPr="00CF2AAD" w:rsidTr="00191A89">
        <w:tc>
          <w:tcPr>
            <w:tcW w:w="1134" w:type="dxa"/>
            <w:vMerge/>
            <w:shd w:val="clear" w:color="auto" w:fill="EEECE1" w:themeFill="background2"/>
          </w:tcPr>
          <w:p w:rsidR="00D06E1A" w:rsidRPr="00CF2AAD" w:rsidRDefault="00D06E1A" w:rsidP="00D06E1A">
            <w:pPr>
              <w:autoSpaceDE w:val="0"/>
              <w:autoSpaceDN w:val="0"/>
              <w:adjustRightInd w:val="0"/>
              <w:jc w:val="both"/>
              <w:rPr>
                <w:rFonts w:ascii="Times New Roman" w:hAnsi="Times New Roman" w:cs="Times New Roman"/>
                <w:b/>
                <w:color w:val="000000" w:themeColor="text1"/>
                <w:sz w:val="20"/>
                <w:szCs w:val="20"/>
                <w:lang w:val="pt-PT"/>
              </w:rPr>
            </w:pPr>
          </w:p>
        </w:tc>
        <w:tc>
          <w:tcPr>
            <w:tcW w:w="2949" w:type="dxa"/>
            <w:shd w:val="clear" w:color="auto" w:fill="DDD9C3" w:themeFill="background2" w:themeFillShade="E6"/>
            <w:vAlign w:val="center"/>
          </w:tcPr>
          <w:p w:rsidR="00D06E1A" w:rsidRPr="00CF2AAD" w:rsidRDefault="00D06E1A" w:rsidP="00CF2AAD">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lang w:val="pt-PT"/>
              </w:rPr>
              <w:t>Riscul de concentrare</w:t>
            </w:r>
          </w:p>
        </w:tc>
        <w:tc>
          <w:tcPr>
            <w:tcW w:w="5131" w:type="dxa"/>
            <w:shd w:val="clear" w:color="auto" w:fill="DDD9C3" w:themeFill="background2" w:themeFillShade="E6"/>
          </w:tcPr>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m</w:t>
            </w:r>
            <w:r w:rsidR="00A7460B">
              <w:rPr>
                <w:rFonts w:ascii="Times New Roman" w:hAnsi="Times New Roman" w:cs="Times New Roman"/>
                <w:color w:val="000000" w:themeColor="text1"/>
                <w:sz w:val="20"/>
                <w:szCs w:val="20"/>
                <w:lang w:val="fr-FR"/>
              </w:rPr>
              <w:t>ediu cu rată scăzută a dobânzii</w:t>
            </w:r>
            <w:r w:rsidRPr="00CF2AAD">
              <w:rPr>
                <w:rFonts w:ascii="Times New Roman" w:hAnsi="Times New Roman" w:cs="Times New Roman"/>
                <w:color w:val="000000" w:themeColor="text1"/>
                <w:sz w:val="20"/>
                <w:szCs w:val="20"/>
                <w:lang w:val="fr-FR"/>
              </w:rPr>
              <w:t xml:space="preserve"> </w:t>
            </w:r>
          </w:p>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acumularea de concentr</w:t>
            </w:r>
            <w:r w:rsidR="00A7460B">
              <w:rPr>
                <w:rFonts w:ascii="Times New Roman" w:hAnsi="Times New Roman" w:cs="Times New Roman"/>
                <w:color w:val="000000" w:themeColor="text1"/>
                <w:sz w:val="20"/>
                <w:szCs w:val="20"/>
                <w:lang w:val="fr-FR"/>
              </w:rPr>
              <w:t>ații în anumite clase de active</w:t>
            </w:r>
          </w:p>
        </w:tc>
      </w:tr>
      <w:tr w:rsidR="00D06E1A" w:rsidRPr="00CF2AAD" w:rsidTr="00A7460B">
        <w:trPr>
          <w:trHeight w:val="319"/>
        </w:trPr>
        <w:tc>
          <w:tcPr>
            <w:tcW w:w="1134" w:type="dxa"/>
            <w:vMerge/>
            <w:shd w:val="clear" w:color="auto" w:fill="EEECE1" w:themeFill="background2"/>
          </w:tcPr>
          <w:p w:rsidR="00D06E1A" w:rsidRPr="00CF2AAD" w:rsidRDefault="00D06E1A" w:rsidP="00D06E1A">
            <w:pPr>
              <w:autoSpaceDE w:val="0"/>
              <w:autoSpaceDN w:val="0"/>
              <w:adjustRightInd w:val="0"/>
              <w:jc w:val="both"/>
              <w:rPr>
                <w:rFonts w:ascii="Times New Roman" w:hAnsi="Times New Roman" w:cs="Times New Roman"/>
                <w:b/>
                <w:color w:val="000000" w:themeColor="text1"/>
                <w:sz w:val="20"/>
                <w:szCs w:val="20"/>
                <w:lang w:val="pt-PT"/>
              </w:rPr>
            </w:pPr>
          </w:p>
        </w:tc>
        <w:tc>
          <w:tcPr>
            <w:tcW w:w="2949" w:type="dxa"/>
            <w:vAlign w:val="center"/>
          </w:tcPr>
          <w:p w:rsidR="00D06E1A" w:rsidRPr="00CF2AAD" w:rsidRDefault="00D06E1A" w:rsidP="00A7460B">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lang w:val="pt-PT"/>
              </w:rPr>
              <w:t>Riscul reputațional și legal</w:t>
            </w:r>
          </w:p>
        </w:tc>
        <w:tc>
          <w:tcPr>
            <w:tcW w:w="5131" w:type="dxa"/>
            <w:vAlign w:val="center"/>
          </w:tcPr>
          <w:p w:rsidR="00D06E1A" w:rsidRPr="00CF2AAD" w:rsidRDefault="00D06E1A" w:rsidP="00A7460B">
            <w:pPr>
              <w:numPr>
                <w:ilvl w:val="0"/>
                <w:numId w:val="7"/>
              </w:numPr>
              <w:tabs>
                <w:tab w:val="left" w:pos="1119"/>
              </w:tabs>
              <w:autoSpaceDE w:val="0"/>
              <w:autoSpaceDN w:val="0"/>
              <w:adjustRightInd w:val="0"/>
              <w:ind w:left="669" w:firstLine="36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riscuri nesigure din cauza abaterilor</w:t>
            </w:r>
          </w:p>
        </w:tc>
      </w:tr>
      <w:tr w:rsidR="00D06E1A" w:rsidRPr="00CF2AAD" w:rsidTr="00191A89">
        <w:tc>
          <w:tcPr>
            <w:tcW w:w="1134" w:type="dxa"/>
            <w:vMerge/>
            <w:shd w:val="clear" w:color="auto" w:fill="EEECE1" w:themeFill="background2"/>
          </w:tcPr>
          <w:p w:rsidR="00D06E1A" w:rsidRPr="00CF2AAD" w:rsidRDefault="00D06E1A" w:rsidP="00D06E1A">
            <w:pPr>
              <w:autoSpaceDE w:val="0"/>
              <w:autoSpaceDN w:val="0"/>
              <w:adjustRightInd w:val="0"/>
              <w:jc w:val="both"/>
              <w:rPr>
                <w:rFonts w:ascii="Times New Roman" w:hAnsi="Times New Roman" w:cs="Times New Roman"/>
                <w:b/>
                <w:color w:val="000000" w:themeColor="text1"/>
                <w:sz w:val="20"/>
                <w:szCs w:val="20"/>
                <w:lang w:val="pt-PT"/>
              </w:rPr>
            </w:pPr>
          </w:p>
        </w:tc>
        <w:tc>
          <w:tcPr>
            <w:tcW w:w="2949" w:type="dxa"/>
            <w:shd w:val="clear" w:color="auto" w:fill="DDD9C3" w:themeFill="background2" w:themeFillShade="E6"/>
            <w:vAlign w:val="center"/>
          </w:tcPr>
          <w:p w:rsidR="00D06E1A" w:rsidRPr="00CF2AAD" w:rsidRDefault="00D06E1A" w:rsidP="00CF2AAD">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lang w:val="pt-PT"/>
              </w:rPr>
              <w:t>Riscul profitabilității</w:t>
            </w:r>
          </w:p>
        </w:tc>
        <w:tc>
          <w:tcPr>
            <w:tcW w:w="5131" w:type="dxa"/>
            <w:shd w:val="clear" w:color="auto" w:fill="DDD9C3" w:themeFill="background2" w:themeFillShade="E6"/>
          </w:tcPr>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pt-PT"/>
              </w:rPr>
              <w:t>t</w:t>
            </w:r>
            <w:r w:rsidRPr="00CF2AAD">
              <w:rPr>
                <w:rFonts w:ascii="Times New Roman" w:hAnsi="Times New Roman" w:cs="Times New Roman"/>
                <w:color w:val="000000" w:themeColor="text1"/>
                <w:sz w:val="20"/>
                <w:szCs w:val="20"/>
                <w:lang w:val="fr-FR"/>
              </w:rPr>
              <w:t>endința de rentabilit</w:t>
            </w:r>
            <w:r w:rsidR="00A7460B">
              <w:rPr>
                <w:rFonts w:ascii="Times New Roman" w:hAnsi="Times New Roman" w:cs="Times New Roman"/>
                <w:color w:val="000000" w:themeColor="text1"/>
                <w:sz w:val="20"/>
                <w:szCs w:val="20"/>
                <w:lang w:val="fr-FR"/>
              </w:rPr>
              <w:t>ate durabilă trebuie confirmată</w:t>
            </w:r>
            <w:r w:rsidRPr="00CF2AAD">
              <w:rPr>
                <w:rFonts w:ascii="Times New Roman" w:hAnsi="Times New Roman" w:cs="Times New Roman"/>
                <w:color w:val="000000" w:themeColor="text1"/>
                <w:sz w:val="20"/>
                <w:szCs w:val="20"/>
                <w:lang w:val="fr-FR"/>
              </w:rPr>
              <w:t xml:space="preserve"> </w:t>
            </w:r>
          </w:p>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veniturile sunt determin</w:t>
            </w:r>
            <w:r w:rsidR="00A7460B">
              <w:rPr>
                <w:rFonts w:ascii="Times New Roman" w:hAnsi="Times New Roman" w:cs="Times New Roman"/>
                <w:color w:val="000000" w:themeColor="text1"/>
                <w:sz w:val="20"/>
                <w:szCs w:val="20"/>
                <w:lang w:val="fr-FR"/>
              </w:rPr>
              <w:t>ate de componente nesustenabile</w:t>
            </w:r>
          </w:p>
        </w:tc>
      </w:tr>
      <w:tr w:rsidR="00D06E1A" w:rsidRPr="00CF2AAD" w:rsidTr="00A7460B">
        <w:trPr>
          <w:trHeight w:val="472"/>
        </w:trPr>
        <w:tc>
          <w:tcPr>
            <w:tcW w:w="1134" w:type="dxa"/>
            <w:vMerge w:val="restart"/>
            <w:shd w:val="clear" w:color="auto" w:fill="EEECE1" w:themeFill="background2"/>
            <w:textDirection w:val="btLr"/>
          </w:tcPr>
          <w:p w:rsidR="00D06E1A" w:rsidRPr="00CF2AAD" w:rsidRDefault="00D06E1A" w:rsidP="00A7460B">
            <w:pPr>
              <w:autoSpaceDE w:val="0"/>
              <w:autoSpaceDN w:val="0"/>
              <w:adjustRightInd w:val="0"/>
              <w:jc w:val="center"/>
              <w:rPr>
                <w:rFonts w:ascii="Times New Roman" w:hAnsi="Times New Roman" w:cs="Times New Roman"/>
                <w:b/>
                <w:color w:val="000000" w:themeColor="text1"/>
                <w:sz w:val="20"/>
                <w:szCs w:val="20"/>
              </w:rPr>
            </w:pPr>
            <w:r w:rsidRPr="00CF2AAD">
              <w:rPr>
                <w:rFonts w:ascii="Times New Roman" w:hAnsi="Times New Roman" w:cs="Times New Roman"/>
                <w:b/>
                <w:color w:val="000000" w:themeColor="text1"/>
                <w:sz w:val="20"/>
                <w:szCs w:val="20"/>
              </w:rPr>
              <w:t>LICHIDITATE ȘI FINANȚARE</w:t>
            </w:r>
          </w:p>
        </w:tc>
        <w:tc>
          <w:tcPr>
            <w:tcW w:w="2949" w:type="dxa"/>
            <w:vAlign w:val="center"/>
          </w:tcPr>
          <w:p w:rsidR="00D06E1A" w:rsidRPr="00CF2AAD" w:rsidRDefault="00D06E1A" w:rsidP="00CF2AAD">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lang w:val="pt-PT"/>
              </w:rPr>
              <w:t>Accesul la finanțare și distribuția maturității</w:t>
            </w:r>
          </w:p>
        </w:tc>
        <w:tc>
          <w:tcPr>
            <w:tcW w:w="5131" w:type="dxa"/>
          </w:tcPr>
          <w:p w:rsidR="00D06E1A" w:rsidRPr="00CF2AAD" w:rsidRDefault="00D06E1A" w:rsidP="00D06E1A">
            <w:pPr>
              <w:autoSpaceDE w:val="0"/>
              <w:autoSpaceDN w:val="0"/>
              <w:adjustRightInd w:val="0"/>
              <w:jc w:val="both"/>
              <w:rPr>
                <w:rFonts w:ascii="Times New Roman" w:hAnsi="Times New Roman" w:cs="Times New Roman"/>
                <w:color w:val="000000" w:themeColor="text1"/>
                <w:sz w:val="20"/>
                <w:szCs w:val="20"/>
                <w:lang w:val="fr-FR"/>
              </w:rPr>
            </w:pPr>
          </w:p>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vulnerab</w:t>
            </w:r>
            <w:r w:rsidR="00A7460B">
              <w:rPr>
                <w:rFonts w:ascii="Times New Roman" w:hAnsi="Times New Roman" w:cs="Times New Roman"/>
                <w:color w:val="000000" w:themeColor="text1"/>
                <w:sz w:val="20"/>
                <w:szCs w:val="20"/>
                <w:lang w:val="fr-FR"/>
              </w:rPr>
              <w:t>ilitate din cauza volatilității</w:t>
            </w:r>
          </w:p>
          <w:p w:rsidR="00D06E1A" w:rsidRPr="00CF2AAD" w:rsidRDefault="00D06E1A" w:rsidP="00D06E1A">
            <w:pPr>
              <w:autoSpaceDE w:val="0"/>
              <w:autoSpaceDN w:val="0"/>
              <w:adjustRightInd w:val="0"/>
              <w:jc w:val="both"/>
              <w:rPr>
                <w:rFonts w:ascii="Times New Roman" w:hAnsi="Times New Roman" w:cs="Times New Roman"/>
                <w:color w:val="000000" w:themeColor="text1"/>
                <w:sz w:val="20"/>
                <w:szCs w:val="20"/>
                <w:lang w:val="fr-FR"/>
              </w:rPr>
            </w:pPr>
          </w:p>
        </w:tc>
      </w:tr>
      <w:tr w:rsidR="00D06E1A" w:rsidRPr="00CF2AAD" w:rsidTr="00191A89">
        <w:trPr>
          <w:trHeight w:val="670"/>
        </w:trPr>
        <w:tc>
          <w:tcPr>
            <w:tcW w:w="1134" w:type="dxa"/>
            <w:vMerge/>
            <w:shd w:val="clear" w:color="auto" w:fill="EEECE1" w:themeFill="background2"/>
          </w:tcPr>
          <w:p w:rsidR="00D06E1A" w:rsidRPr="00CF2AAD" w:rsidRDefault="00D06E1A" w:rsidP="00A7460B">
            <w:pPr>
              <w:autoSpaceDE w:val="0"/>
              <w:autoSpaceDN w:val="0"/>
              <w:adjustRightInd w:val="0"/>
              <w:jc w:val="center"/>
              <w:rPr>
                <w:rFonts w:ascii="Times New Roman" w:hAnsi="Times New Roman" w:cs="Times New Roman"/>
                <w:b/>
                <w:color w:val="000000" w:themeColor="text1"/>
                <w:sz w:val="20"/>
                <w:szCs w:val="20"/>
                <w:lang w:val="pt-PT"/>
              </w:rPr>
            </w:pPr>
          </w:p>
        </w:tc>
        <w:tc>
          <w:tcPr>
            <w:tcW w:w="2949" w:type="dxa"/>
            <w:shd w:val="clear" w:color="auto" w:fill="DDD9C3" w:themeFill="background2" w:themeFillShade="E6"/>
            <w:vAlign w:val="center"/>
          </w:tcPr>
          <w:p w:rsidR="00D06E1A" w:rsidRPr="00CF2AAD" w:rsidRDefault="00D06E1A" w:rsidP="00A7460B">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lang w:val="pt-PT"/>
              </w:rPr>
              <w:t>Structura finanțării</w:t>
            </w:r>
          </w:p>
        </w:tc>
        <w:tc>
          <w:tcPr>
            <w:tcW w:w="5131" w:type="dxa"/>
            <w:shd w:val="clear" w:color="auto" w:fill="DDD9C3" w:themeFill="background2" w:themeFillShade="E6"/>
            <w:vAlign w:val="center"/>
          </w:tcPr>
          <w:p w:rsidR="00D06E1A" w:rsidRPr="00CF2AAD" w:rsidRDefault="00D06E1A" w:rsidP="0071792D">
            <w:pPr>
              <w:numPr>
                <w:ilvl w:val="0"/>
                <w:numId w:val="7"/>
              </w:numPr>
              <w:autoSpaceDE w:val="0"/>
              <w:autoSpaceDN w:val="0"/>
              <w:adjustRightInd w:val="0"/>
              <w:ind w:left="939" w:hanging="27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provocări potențiale pentru atingerea MREL</w:t>
            </w:r>
          </w:p>
        </w:tc>
      </w:tr>
      <w:tr w:rsidR="00D06E1A" w:rsidRPr="00CF2AAD" w:rsidTr="00A7460B">
        <w:trPr>
          <w:cantSplit/>
          <w:trHeight w:val="292"/>
        </w:trPr>
        <w:tc>
          <w:tcPr>
            <w:tcW w:w="1134" w:type="dxa"/>
            <w:vMerge w:val="restart"/>
            <w:shd w:val="clear" w:color="auto" w:fill="EEECE1" w:themeFill="background2"/>
            <w:textDirection w:val="btLr"/>
          </w:tcPr>
          <w:p w:rsidR="00D06E1A" w:rsidRPr="00CF2AAD" w:rsidRDefault="00D06E1A" w:rsidP="00A7460B">
            <w:pPr>
              <w:autoSpaceDE w:val="0"/>
              <w:autoSpaceDN w:val="0"/>
              <w:adjustRightInd w:val="0"/>
              <w:jc w:val="center"/>
              <w:rPr>
                <w:rFonts w:ascii="Times New Roman" w:hAnsi="Times New Roman" w:cs="Times New Roman"/>
                <w:b/>
                <w:color w:val="000000" w:themeColor="text1"/>
                <w:sz w:val="20"/>
                <w:szCs w:val="20"/>
              </w:rPr>
            </w:pPr>
            <w:r w:rsidRPr="00CF2AAD">
              <w:rPr>
                <w:rFonts w:ascii="Times New Roman" w:hAnsi="Times New Roman" w:cs="Times New Roman"/>
                <w:b/>
                <w:color w:val="000000" w:themeColor="text1"/>
                <w:sz w:val="20"/>
                <w:szCs w:val="20"/>
              </w:rPr>
              <w:t>MEDIU ÎNCONJURĂTOR</w:t>
            </w:r>
          </w:p>
          <w:p w:rsidR="00D06E1A" w:rsidRPr="00CF2AAD" w:rsidRDefault="00D06E1A" w:rsidP="00A7460B">
            <w:pPr>
              <w:autoSpaceDE w:val="0"/>
              <w:autoSpaceDN w:val="0"/>
              <w:adjustRightInd w:val="0"/>
              <w:jc w:val="center"/>
              <w:rPr>
                <w:rFonts w:ascii="Times New Roman" w:hAnsi="Times New Roman" w:cs="Times New Roman"/>
                <w:b/>
                <w:color w:val="000000" w:themeColor="text1"/>
                <w:sz w:val="20"/>
                <w:szCs w:val="20"/>
              </w:rPr>
            </w:pPr>
          </w:p>
        </w:tc>
        <w:tc>
          <w:tcPr>
            <w:tcW w:w="2949" w:type="dxa"/>
            <w:vAlign w:val="center"/>
          </w:tcPr>
          <w:p w:rsidR="00D06E1A" w:rsidRPr="00CF2AAD" w:rsidRDefault="00D06E1A" w:rsidP="00CF2AAD">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lang w:val="pt-PT"/>
              </w:rPr>
              <w:t>Cadrul juridic și legislativ</w:t>
            </w:r>
          </w:p>
        </w:tc>
        <w:tc>
          <w:tcPr>
            <w:tcW w:w="5131" w:type="dxa"/>
          </w:tcPr>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implementarea MREL, Brexit;</w:t>
            </w:r>
          </w:p>
        </w:tc>
      </w:tr>
      <w:tr w:rsidR="00D06E1A" w:rsidRPr="00CF2AAD" w:rsidTr="00191A89">
        <w:trPr>
          <w:cantSplit/>
          <w:trHeight w:val="695"/>
        </w:trPr>
        <w:tc>
          <w:tcPr>
            <w:tcW w:w="1134" w:type="dxa"/>
            <w:vMerge/>
            <w:shd w:val="clear" w:color="auto" w:fill="EEECE1" w:themeFill="background2"/>
            <w:textDirection w:val="btLr"/>
          </w:tcPr>
          <w:p w:rsidR="00D06E1A" w:rsidRPr="00CF2AAD" w:rsidRDefault="00D06E1A" w:rsidP="00D06E1A">
            <w:pPr>
              <w:autoSpaceDE w:val="0"/>
              <w:autoSpaceDN w:val="0"/>
              <w:adjustRightInd w:val="0"/>
              <w:jc w:val="both"/>
              <w:rPr>
                <w:rFonts w:ascii="Times New Roman" w:hAnsi="Times New Roman" w:cs="Times New Roman"/>
                <w:b/>
                <w:color w:val="000000" w:themeColor="text1"/>
                <w:sz w:val="20"/>
                <w:szCs w:val="20"/>
              </w:rPr>
            </w:pPr>
          </w:p>
        </w:tc>
        <w:tc>
          <w:tcPr>
            <w:tcW w:w="2949" w:type="dxa"/>
            <w:shd w:val="clear" w:color="auto" w:fill="DDD9C3" w:themeFill="background2" w:themeFillShade="E6"/>
            <w:vAlign w:val="center"/>
          </w:tcPr>
          <w:p w:rsidR="00D06E1A" w:rsidRPr="00CF2AAD" w:rsidRDefault="00D06E1A" w:rsidP="00CF2AAD">
            <w:pPr>
              <w:autoSpaceDE w:val="0"/>
              <w:autoSpaceDN w:val="0"/>
              <w:adjustRightInd w:val="0"/>
              <w:jc w:val="center"/>
              <w:rPr>
                <w:rFonts w:ascii="Times New Roman" w:hAnsi="Times New Roman" w:cs="Times New Roman"/>
                <w:color w:val="000000" w:themeColor="text1"/>
                <w:sz w:val="20"/>
                <w:szCs w:val="20"/>
                <w:lang w:val="pt-PT"/>
              </w:rPr>
            </w:pPr>
          </w:p>
          <w:p w:rsidR="00D06E1A" w:rsidRPr="00CF2AAD" w:rsidRDefault="00D06E1A" w:rsidP="00CF2AAD">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lang w:val="pt-PT"/>
              </w:rPr>
              <w:t>Fragmentare</w:t>
            </w:r>
          </w:p>
        </w:tc>
        <w:tc>
          <w:tcPr>
            <w:tcW w:w="5131" w:type="dxa"/>
            <w:shd w:val="clear" w:color="auto" w:fill="DDD9C3" w:themeFill="background2" w:themeFillShade="E6"/>
          </w:tcPr>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calitatea activelor;</w:t>
            </w:r>
          </w:p>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rentabilitatea;</w:t>
            </w:r>
          </w:p>
          <w:p w:rsidR="00D06E1A" w:rsidRPr="00CF2AAD" w:rsidRDefault="00D06E1A"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sidRPr="00CF2AAD">
              <w:rPr>
                <w:rFonts w:ascii="Times New Roman" w:hAnsi="Times New Roman" w:cs="Times New Roman"/>
                <w:color w:val="000000" w:themeColor="text1"/>
                <w:sz w:val="20"/>
                <w:szCs w:val="20"/>
                <w:lang w:val="fr-FR"/>
              </w:rPr>
              <w:t>condiții de reglementare echitabile;</w:t>
            </w:r>
          </w:p>
        </w:tc>
      </w:tr>
      <w:tr w:rsidR="00D06E1A" w:rsidRPr="00CF2AAD" w:rsidTr="00A7460B">
        <w:trPr>
          <w:cantSplit/>
          <w:trHeight w:val="427"/>
        </w:trPr>
        <w:tc>
          <w:tcPr>
            <w:tcW w:w="1134" w:type="dxa"/>
            <w:vMerge/>
            <w:shd w:val="clear" w:color="auto" w:fill="EEECE1" w:themeFill="background2"/>
            <w:textDirection w:val="btLr"/>
          </w:tcPr>
          <w:p w:rsidR="00D06E1A" w:rsidRPr="00CF2AAD" w:rsidRDefault="00D06E1A" w:rsidP="00D06E1A">
            <w:pPr>
              <w:autoSpaceDE w:val="0"/>
              <w:autoSpaceDN w:val="0"/>
              <w:adjustRightInd w:val="0"/>
              <w:jc w:val="both"/>
              <w:rPr>
                <w:rFonts w:ascii="Times New Roman" w:hAnsi="Times New Roman" w:cs="Times New Roman"/>
                <w:b/>
                <w:color w:val="000000" w:themeColor="text1"/>
                <w:sz w:val="20"/>
                <w:szCs w:val="20"/>
                <w:lang w:val="pt-PT"/>
              </w:rPr>
            </w:pPr>
          </w:p>
        </w:tc>
        <w:tc>
          <w:tcPr>
            <w:tcW w:w="2949" w:type="dxa"/>
            <w:vAlign w:val="center"/>
          </w:tcPr>
          <w:p w:rsidR="00D06E1A" w:rsidRPr="00CF2AAD" w:rsidRDefault="00D06E1A" w:rsidP="00CF2AAD">
            <w:pPr>
              <w:autoSpaceDE w:val="0"/>
              <w:autoSpaceDN w:val="0"/>
              <w:adjustRightInd w:val="0"/>
              <w:jc w:val="center"/>
              <w:rPr>
                <w:rFonts w:ascii="Times New Roman" w:hAnsi="Times New Roman" w:cs="Times New Roman"/>
                <w:color w:val="000000" w:themeColor="text1"/>
                <w:sz w:val="20"/>
                <w:szCs w:val="20"/>
                <w:lang w:val="pt-PT"/>
              </w:rPr>
            </w:pPr>
            <w:r w:rsidRPr="00CF2AAD">
              <w:rPr>
                <w:rFonts w:ascii="Times New Roman" w:hAnsi="Times New Roman" w:cs="Times New Roman"/>
                <w:color w:val="000000" w:themeColor="text1"/>
                <w:sz w:val="20"/>
                <w:szCs w:val="20"/>
                <w:lang w:val="pt-PT"/>
              </w:rPr>
              <w:t>Risc de suveranitate</w:t>
            </w:r>
          </w:p>
        </w:tc>
        <w:tc>
          <w:tcPr>
            <w:tcW w:w="5131" w:type="dxa"/>
          </w:tcPr>
          <w:p w:rsidR="00D06E1A" w:rsidRPr="00CF2AAD" w:rsidRDefault="00A7460B"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lang w:val="fr-FR"/>
              </w:rPr>
              <w:t>riscul politic</w:t>
            </w:r>
          </w:p>
          <w:p w:rsidR="00D06E1A" w:rsidRPr="00CF2AAD" w:rsidRDefault="00A7460B" w:rsidP="00D06E1A">
            <w:pPr>
              <w:numPr>
                <w:ilvl w:val="0"/>
                <w:numId w:val="7"/>
              </w:numPr>
              <w:autoSpaceDE w:val="0"/>
              <w:autoSpaceDN w:val="0"/>
              <w:adjustRightInd w:val="0"/>
              <w:jc w:val="both"/>
              <w:rPr>
                <w:rFonts w:ascii="Times New Roman" w:hAnsi="Times New Roman" w:cs="Times New Roman"/>
                <w:color w:val="000000" w:themeColor="text1"/>
                <w:sz w:val="20"/>
                <w:szCs w:val="20"/>
                <w:lang w:val="fr-FR"/>
              </w:rPr>
            </w:pPr>
            <w:r>
              <w:rPr>
                <w:rFonts w:ascii="Times New Roman" w:hAnsi="Times New Roman" w:cs="Times New Roman"/>
                <w:color w:val="000000" w:themeColor="text1"/>
                <w:sz w:val="20"/>
                <w:szCs w:val="20"/>
                <w:lang w:val="fr-FR"/>
              </w:rPr>
              <w:t>excesul de datorii</w:t>
            </w:r>
          </w:p>
        </w:tc>
      </w:tr>
    </w:tbl>
    <w:p w:rsidR="00D06E1A" w:rsidRPr="00B17DD6" w:rsidRDefault="00D06E1A" w:rsidP="000E18E4">
      <w:pPr>
        <w:autoSpaceDE w:val="0"/>
        <w:autoSpaceDN w:val="0"/>
        <w:adjustRightInd w:val="0"/>
        <w:spacing w:after="0" w:line="240" w:lineRule="auto"/>
        <w:jc w:val="both"/>
        <w:rPr>
          <w:rFonts w:ascii="Times New Roman" w:hAnsi="Times New Roman" w:cs="Times New Roman"/>
          <w:sz w:val="20"/>
          <w:szCs w:val="20"/>
        </w:rPr>
      </w:pPr>
      <w:r w:rsidRPr="00314875">
        <w:rPr>
          <w:rFonts w:ascii="Times New Roman" w:hAnsi="Times New Roman" w:cs="Times New Roman"/>
          <w:color w:val="000000" w:themeColor="text1"/>
          <w:sz w:val="20"/>
          <w:szCs w:val="20"/>
        </w:rPr>
        <w:t xml:space="preserve">Sursa: European Banking Authority, </w:t>
      </w:r>
      <w:r w:rsidRPr="00314875">
        <w:rPr>
          <w:rFonts w:ascii="Times New Roman" w:hAnsi="Times New Roman" w:cs="Times New Roman"/>
          <w:i/>
          <w:color w:val="000000" w:themeColor="text1"/>
          <w:sz w:val="20"/>
          <w:szCs w:val="20"/>
        </w:rPr>
        <w:t xml:space="preserve">Risk Dashboard Q4, </w:t>
      </w:r>
      <w:r w:rsidRPr="00314875">
        <w:rPr>
          <w:rFonts w:ascii="Times New Roman" w:hAnsi="Times New Roman" w:cs="Times New Roman"/>
          <w:color w:val="000000" w:themeColor="text1"/>
          <w:sz w:val="20"/>
          <w:szCs w:val="20"/>
        </w:rPr>
        <w:t>2017;</w:t>
      </w:r>
      <w:r w:rsidRPr="00314875">
        <w:rPr>
          <w:rFonts w:ascii="Times New Roman" w:hAnsi="Times New Roman" w:cs="Times New Roman"/>
          <w:i/>
          <w:color w:val="000000" w:themeColor="text1"/>
          <w:sz w:val="20"/>
          <w:szCs w:val="20"/>
        </w:rPr>
        <w:t xml:space="preserve"> </w:t>
      </w:r>
      <w:r w:rsidRPr="00314875">
        <w:rPr>
          <w:rFonts w:ascii="Times New Roman" w:hAnsi="Times New Roman" w:cs="Times New Roman"/>
          <w:color w:val="000000" w:themeColor="text1"/>
          <w:sz w:val="20"/>
          <w:szCs w:val="20"/>
        </w:rPr>
        <w:t>valabil online pe</w:t>
      </w:r>
      <w:r w:rsidRPr="00314875">
        <w:rPr>
          <w:rFonts w:ascii="Times New Roman" w:hAnsi="Times New Roman" w:cs="Times New Roman"/>
          <w:sz w:val="20"/>
          <w:szCs w:val="20"/>
        </w:rPr>
        <w:t xml:space="preserve">: </w:t>
      </w:r>
      <w:hyperlink w:history="1">
        <w:r w:rsidR="00314875" w:rsidRPr="00314875">
          <w:rPr>
            <w:rStyle w:val="Hyperlink"/>
            <w:rFonts w:ascii="Times New Roman" w:hAnsi="Times New Roman" w:cs="Times New Roman"/>
            <w:color w:val="auto"/>
            <w:sz w:val="20"/>
            <w:szCs w:val="20"/>
            <w:u w:val="none"/>
          </w:rPr>
          <w:t>https:// www. eba. europa. eu/ documents/10180/2175405/EBA+Dashboard+-+Q4+2017.pdf</w:t>
        </w:r>
      </w:hyperlink>
      <w:r w:rsidR="00B17DD6">
        <w:rPr>
          <w:rFonts w:ascii="Times New Roman" w:hAnsi="Times New Roman" w:cs="Times New Roman"/>
          <w:sz w:val="20"/>
          <w:szCs w:val="20"/>
        </w:rPr>
        <w:t xml:space="preserve"> </w:t>
      </w:r>
    </w:p>
    <w:p w:rsidR="000E18E4" w:rsidRPr="006D7307" w:rsidRDefault="00F65739"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000E18E4" w:rsidRPr="006D7307">
        <w:rPr>
          <w:rFonts w:ascii="Times New Roman" w:hAnsi="Times New Roman" w:cs="Times New Roman"/>
          <w:color w:val="000000" w:themeColor="text1"/>
          <w:sz w:val="24"/>
          <w:szCs w:val="24"/>
        </w:rPr>
        <w:t>Un credit performant va furniza băncii veniturile din dobânzi de care are nevoie pentru a obține profit și a acorda noi împrumuturi, ceea ce nu se întâmplă, în general, în cazul unui</w:t>
      </w:r>
      <w:r w:rsidR="00314875">
        <w:rPr>
          <w:rFonts w:ascii="Times New Roman" w:hAnsi="Times New Roman" w:cs="Times New Roman"/>
          <w:color w:val="000000" w:themeColor="text1"/>
          <w:sz w:val="24"/>
          <w:szCs w:val="24"/>
        </w:rPr>
        <w:t>a</w:t>
      </w:r>
      <w:r w:rsidR="000E18E4" w:rsidRPr="006D7307">
        <w:rPr>
          <w:rFonts w:ascii="Times New Roman" w:hAnsi="Times New Roman" w:cs="Times New Roman"/>
          <w:color w:val="000000" w:themeColor="text1"/>
          <w:sz w:val="24"/>
          <w:szCs w:val="24"/>
        </w:rPr>
        <w:t xml:space="preserve"> neperformant.</w:t>
      </w:r>
    </w:p>
    <w:p w:rsidR="0071792D" w:rsidRPr="0014319B" w:rsidRDefault="00F65739" w:rsidP="000E18E4">
      <w:pPr>
        <w:autoSpaceDE w:val="0"/>
        <w:autoSpaceDN w:val="0"/>
        <w:adjustRightInd w:val="0"/>
        <w:spacing w:after="0" w:line="240" w:lineRule="auto"/>
        <w:jc w:val="both"/>
        <w:rPr>
          <w:rFonts w:ascii="Times New Roman" w:hAnsi="Times New Roman" w:cs="Times New Roman"/>
          <w:sz w:val="24"/>
          <w:szCs w:val="24"/>
        </w:rPr>
      </w:pPr>
      <w:r w:rsidRPr="006D7307">
        <w:rPr>
          <w:rFonts w:ascii="Times New Roman" w:hAnsi="Times New Roman" w:cs="Times New Roman"/>
          <w:color w:val="000000" w:themeColor="text1"/>
          <w:sz w:val="24"/>
          <w:szCs w:val="24"/>
        </w:rPr>
        <w:tab/>
      </w:r>
      <w:r w:rsidR="000E18E4" w:rsidRPr="0014319B">
        <w:rPr>
          <w:rFonts w:ascii="Times New Roman" w:hAnsi="Times New Roman" w:cs="Times New Roman"/>
          <w:sz w:val="24"/>
          <w:szCs w:val="24"/>
        </w:rPr>
        <w:t xml:space="preserve">În general, autoritățile de supraveghere europene consideră că un credit este neperformant în cazul în care există indicii cu privire la probabilitatea ca debitorul să nu ramburseze creditul pe fondul unor dificultăți financiare sau atunci când au trecut mai mult de 90 de zile fără ca debitorul să fi achitat ratele convenite. </w:t>
      </w:r>
    </w:p>
    <w:p w:rsidR="0071792D" w:rsidRDefault="0071792D" w:rsidP="0071792D">
      <w:pPr>
        <w:autoSpaceDE w:val="0"/>
        <w:autoSpaceDN w:val="0"/>
        <w:adjustRightInd w:val="0"/>
        <w:spacing w:after="0" w:line="240" w:lineRule="auto"/>
        <w:jc w:val="both"/>
        <w:rPr>
          <w:rFonts w:ascii="Times New Roman" w:hAnsi="Times New Roman" w:cs="Times New Roman"/>
          <w:color w:val="000000" w:themeColor="text1"/>
          <w:sz w:val="24"/>
          <w:szCs w:val="24"/>
        </w:rPr>
      </w:pPr>
      <w:r w:rsidRPr="0014319B">
        <w:rPr>
          <w:rFonts w:ascii="Times New Roman" w:hAnsi="Times New Roman" w:cs="Times New Roman"/>
          <w:sz w:val="24"/>
          <w:szCs w:val="24"/>
        </w:rPr>
        <w:tab/>
      </w:r>
      <w:r w:rsidR="000E18E4" w:rsidRPr="0014319B">
        <w:rPr>
          <w:rFonts w:ascii="Times New Roman" w:hAnsi="Times New Roman" w:cs="Times New Roman"/>
          <w:sz w:val="24"/>
          <w:szCs w:val="24"/>
        </w:rPr>
        <w:t xml:space="preserve">Acest lucru se poate întâmpla, de exemplu, atunci când </w:t>
      </w:r>
      <w:r w:rsidR="000E18E4" w:rsidRPr="006D7307">
        <w:rPr>
          <w:rFonts w:ascii="Times New Roman" w:hAnsi="Times New Roman" w:cs="Times New Roman"/>
          <w:color w:val="000000" w:themeColor="text1"/>
          <w:sz w:val="24"/>
          <w:szCs w:val="24"/>
        </w:rPr>
        <w:t>o persoană își pierde locul de muncă și, prin urmare, nu poate rambursa un credit ipotecar în condiții</w:t>
      </w:r>
      <w:r w:rsidR="00F65739" w:rsidRPr="006D7307">
        <w:rPr>
          <w:rFonts w:ascii="Times New Roman" w:hAnsi="Times New Roman" w:cs="Times New Roman"/>
          <w:color w:val="000000" w:themeColor="text1"/>
          <w:sz w:val="24"/>
          <w:szCs w:val="24"/>
        </w:rPr>
        <w:t>le convenite sau când o firmă</w:t>
      </w:r>
      <w:r w:rsidR="000E18E4" w:rsidRPr="006D7307">
        <w:rPr>
          <w:rFonts w:ascii="Times New Roman" w:hAnsi="Times New Roman" w:cs="Times New Roman"/>
          <w:color w:val="000000" w:themeColor="text1"/>
          <w:sz w:val="24"/>
          <w:szCs w:val="24"/>
        </w:rPr>
        <w:t xml:space="preserve"> se confruntă cu dificultăți financiare.</w:t>
      </w:r>
    </w:p>
    <w:p w:rsidR="0071792D" w:rsidRDefault="0071792D" w:rsidP="0071792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E18E4" w:rsidRPr="006D7307">
        <w:rPr>
          <w:rFonts w:ascii="Times New Roman" w:hAnsi="Times New Roman" w:cs="Times New Roman"/>
          <w:color w:val="000000" w:themeColor="text1"/>
          <w:sz w:val="24"/>
          <w:szCs w:val="24"/>
        </w:rPr>
        <w:t>În scenariul cel mai nefavorabil, debitorul se află în imposibilitatea totală de a rambursa creditul și banca trebuie să ajusteze valoarea creditului în bilanțul său –</w:t>
      </w:r>
      <w:r w:rsidR="000E18E4" w:rsidRPr="000E18E4">
        <w:rPr>
          <w:rFonts w:ascii="Times New Roman" w:hAnsi="Times New Roman" w:cs="Times New Roman"/>
          <w:b/>
          <w:color w:val="000000" w:themeColor="text1"/>
          <w:sz w:val="24"/>
          <w:szCs w:val="24"/>
        </w:rPr>
        <w:t xml:space="preserve"> </w:t>
      </w:r>
      <w:r w:rsidR="000E18E4" w:rsidRPr="006D7307">
        <w:rPr>
          <w:rFonts w:ascii="Times New Roman" w:hAnsi="Times New Roman" w:cs="Times New Roman"/>
          <w:color w:val="000000" w:themeColor="text1"/>
          <w:sz w:val="24"/>
          <w:szCs w:val="24"/>
        </w:rPr>
        <w:t>uneori chiar până la zero. Această operațiune este adesea denumită „</w:t>
      </w:r>
      <w:r w:rsidR="000E18E4" w:rsidRPr="006D7307">
        <w:rPr>
          <w:rFonts w:ascii="Times New Roman" w:hAnsi="Times New Roman" w:cs="Times New Roman"/>
          <w:i/>
          <w:color w:val="000000" w:themeColor="text1"/>
          <w:sz w:val="24"/>
          <w:szCs w:val="24"/>
        </w:rPr>
        <w:t>scoatere din evidențele contabile</w:t>
      </w:r>
      <w:r w:rsidR="000E18E4" w:rsidRPr="006D7307">
        <w:rPr>
          <w:rFonts w:ascii="Times New Roman" w:hAnsi="Times New Roman" w:cs="Times New Roman"/>
          <w:color w:val="000000" w:themeColor="text1"/>
          <w:sz w:val="24"/>
          <w:szCs w:val="24"/>
        </w:rPr>
        <w:t>” a unui credit.</w:t>
      </w:r>
      <w:r>
        <w:rPr>
          <w:rFonts w:ascii="Times New Roman" w:hAnsi="Times New Roman" w:cs="Times New Roman"/>
          <w:color w:val="000000" w:themeColor="text1"/>
          <w:sz w:val="24"/>
          <w:szCs w:val="24"/>
        </w:rPr>
        <w:t xml:space="preserve">     </w:t>
      </w:r>
    </w:p>
    <w:p w:rsidR="000E18E4" w:rsidRPr="006D7307" w:rsidRDefault="0071792D" w:rsidP="0071792D">
      <w:pPr>
        <w:keepNext/>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65739" w:rsidRPr="006D7307">
        <w:rPr>
          <w:rFonts w:ascii="Times New Roman" w:hAnsi="Times New Roman" w:cs="Times New Roman"/>
          <w:color w:val="000000" w:themeColor="text1"/>
          <w:sz w:val="24"/>
          <w:szCs w:val="24"/>
        </w:rPr>
        <w:t>Din nefericire, c</w:t>
      </w:r>
      <w:r w:rsidR="000E18E4" w:rsidRPr="006D7307">
        <w:rPr>
          <w:rFonts w:ascii="Times New Roman" w:hAnsi="Times New Roman" w:cs="Times New Roman"/>
          <w:color w:val="000000" w:themeColor="text1"/>
          <w:sz w:val="24"/>
          <w:szCs w:val="24"/>
        </w:rPr>
        <w:t xml:space="preserve">reditele neperformante reprezintă o realitate cotidiană pentru bănci. </w:t>
      </w:r>
      <w:r w:rsidR="000E18E4" w:rsidRPr="006D7307">
        <w:rPr>
          <w:rFonts w:ascii="Times New Roman" w:hAnsi="Times New Roman" w:cs="Times New Roman"/>
          <w:color w:val="000000" w:themeColor="text1"/>
          <w:sz w:val="24"/>
          <w:szCs w:val="24"/>
        </w:rPr>
        <w:lastRenderedPageBreak/>
        <w:t>Pentru a fi prosperă pe termen lung, o bancă trebuie să mențină creditele neperformante la un nivel minim.</w:t>
      </w:r>
      <w:r>
        <w:rPr>
          <w:rFonts w:ascii="Times New Roman" w:hAnsi="Times New Roman" w:cs="Times New Roman"/>
          <w:color w:val="000000" w:themeColor="text1"/>
          <w:sz w:val="24"/>
          <w:szCs w:val="24"/>
        </w:rPr>
        <w:t xml:space="preserve"> </w:t>
      </w:r>
      <w:r w:rsidR="000E18E4" w:rsidRPr="006D7307">
        <w:rPr>
          <w:rFonts w:ascii="Times New Roman" w:hAnsi="Times New Roman" w:cs="Times New Roman"/>
          <w:color w:val="000000" w:themeColor="text1"/>
          <w:sz w:val="24"/>
          <w:szCs w:val="24"/>
        </w:rPr>
        <w:t>Dacă valoarea creditelor neperformante depășește un anumit nivel,</w:t>
      </w:r>
      <w:r>
        <w:rPr>
          <w:rFonts w:ascii="Times New Roman" w:hAnsi="Times New Roman" w:cs="Times New Roman"/>
          <w:color w:val="000000" w:themeColor="text1"/>
          <w:sz w:val="24"/>
          <w:szCs w:val="24"/>
        </w:rPr>
        <w:t xml:space="preserve"> p</w:t>
      </w:r>
      <w:r w:rsidR="000E18E4" w:rsidRPr="006D7307">
        <w:rPr>
          <w:rFonts w:ascii="Times New Roman" w:hAnsi="Times New Roman" w:cs="Times New Roman"/>
          <w:color w:val="000000" w:themeColor="text1"/>
          <w:sz w:val="24"/>
          <w:szCs w:val="24"/>
        </w:rPr>
        <w:t>rofitabilitatea băncii are de suferit, întrucât veniturile realizate din activitatea de creditare sunt mai mici. Băncile trebuie să economisească fonduri, respectiv să constituie un provizion, ca măsură de siguranță pentru situațiile în care trebuie să reducă sau să anuleze valoarea creditului la un moment dat.</w:t>
      </w:r>
    </w:p>
    <w:p w:rsidR="000E18E4" w:rsidRPr="006D7307" w:rsidRDefault="00F65739" w:rsidP="0071792D">
      <w:pPr>
        <w:keepNext/>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sidRPr="006D7307">
        <w:rPr>
          <w:rFonts w:ascii="Times New Roman" w:hAnsi="Times New Roman" w:cs="Times New Roman"/>
          <w:color w:val="000000" w:themeColor="text1"/>
          <w:sz w:val="24"/>
          <w:szCs w:val="24"/>
        </w:rPr>
        <w:tab/>
      </w:r>
      <w:r w:rsidR="000E18E4" w:rsidRPr="006D7307">
        <w:rPr>
          <w:rFonts w:ascii="Times New Roman" w:hAnsi="Times New Roman" w:cs="Times New Roman"/>
          <w:color w:val="000000" w:themeColor="text1"/>
          <w:sz w:val="24"/>
          <w:szCs w:val="24"/>
        </w:rPr>
        <w:t>Atât scăderea veniturilor, cât și economisirea de fonduri pentru scenariul cel mai nefavorabil au drept rezultat reducerea fondurilor disponibile pentru acordarea de noi credite, ceea ce diminuează și mai mult profiturile băncii.</w:t>
      </w:r>
    </w:p>
    <w:p w:rsidR="000E18E4" w:rsidRPr="006D7307" w:rsidRDefault="00F65739"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sidRPr="006D7307">
        <w:rPr>
          <w:rFonts w:ascii="Times New Roman" w:hAnsi="Times New Roman" w:cs="Times New Roman"/>
          <w:color w:val="000000" w:themeColor="text1"/>
          <w:sz w:val="24"/>
          <w:szCs w:val="24"/>
        </w:rPr>
        <w:tab/>
      </w:r>
      <w:r w:rsidR="000E18E4" w:rsidRPr="006D7307">
        <w:rPr>
          <w:rFonts w:ascii="Times New Roman" w:hAnsi="Times New Roman" w:cs="Times New Roman"/>
          <w:color w:val="000000" w:themeColor="text1"/>
          <w:sz w:val="24"/>
          <w:szCs w:val="24"/>
        </w:rPr>
        <w:t xml:space="preserve">O bancă cu un volum excesiv de credite neperformante nu poate furniza </w:t>
      </w:r>
      <w:r w:rsidRPr="006D7307">
        <w:rPr>
          <w:rFonts w:ascii="Times New Roman" w:hAnsi="Times New Roman" w:cs="Times New Roman"/>
          <w:color w:val="000000" w:themeColor="text1"/>
          <w:sz w:val="24"/>
          <w:szCs w:val="24"/>
        </w:rPr>
        <w:t>în mod corespunzător firmelor</w:t>
      </w:r>
      <w:r w:rsidR="000E18E4" w:rsidRPr="006D7307">
        <w:rPr>
          <w:rFonts w:ascii="Times New Roman" w:hAnsi="Times New Roman" w:cs="Times New Roman"/>
          <w:color w:val="000000" w:themeColor="text1"/>
          <w:sz w:val="24"/>
          <w:szCs w:val="24"/>
        </w:rPr>
        <w:t xml:space="preserve"> creditele de care acestea au nevoie pentru a investi și a crea locuri de muncă. O situație în care un număr mare de bănci se confruntă, pe scară largă, cu această problemă afectează economia în ansamblu și, implicit, membrii societății. Reducerea investițiilor </w:t>
      </w:r>
      <w:r w:rsidRPr="006D7307">
        <w:rPr>
          <w:rFonts w:ascii="Times New Roman" w:hAnsi="Times New Roman" w:cs="Times New Roman"/>
          <w:color w:val="000000" w:themeColor="text1"/>
          <w:sz w:val="24"/>
          <w:szCs w:val="24"/>
        </w:rPr>
        <w:t xml:space="preserve">firmelor </w:t>
      </w:r>
      <w:r w:rsidR="000E18E4" w:rsidRPr="006D7307">
        <w:rPr>
          <w:rFonts w:ascii="Times New Roman" w:hAnsi="Times New Roman" w:cs="Times New Roman"/>
          <w:color w:val="000000" w:themeColor="text1"/>
          <w:sz w:val="24"/>
          <w:szCs w:val="24"/>
        </w:rPr>
        <w:t>și scăderea numărului de locuri de muncă noi conduc la o diminuare a creșterii economice.</w:t>
      </w:r>
    </w:p>
    <w:p w:rsidR="000E18E4" w:rsidRPr="006D7307" w:rsidRDefault="00F65739"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sidRPr="006D7307">
        <w:rPr>
          <w:rFonts w:ascii="Times New Roman" w:hAnsi="Times New Roman" w:cs="Times New Roman"/>
          <w:color w:val="000000" w:themeColor="text1"/>
          <w:sz w:val="24"/>
          <w:szCs w:val="24"/>
        </w:rPr>
        <w:tab/>
      </w:r>
      <w:r w:rsidR="000E18E4" w:rsidRPr="006D7307">
        <w:rPr>
          <w:rFonts w:ascii="Times New Roman" w:hAnsi="Times New Roman" w:cs="Times New Roman"/>
          <w:color w:val="000000" w:themeColor="text1"/>
          <w:sz w:val="24"/>
          <w:szCs w:val="24"/>
        </w:rPr>
        <w:t>Băncile ar trebui să evite de la bun început acordarea de credite excesiv de riscante prin evaluarea corespunzătoare a bonității debitorilor. Este, de asemenea, importantă introducerea unui sistem de monitorizare adecvat pentru ca banca să detecteze într-o etapă incipientă momentul în care debitorul se confruntă cu dificultăți financiare și să poată soluționa această problemă.</w:t>
      </w:r>
      <w:r w:rsidRPr="006D7307">
        <w:rPr>
          <w:rFonts w:ascii="Times New Roman" w:hAnsi="Times New Roman" w:cs="Times New Roman"/>
          <w:color w:val="000000" w:themeColor="text1"/>
          <w:sz w:val="24"/>
          <w:szCs w:val="24"/>
        </w:rPr>
        <w:t xml:space="preserve"> </w:t>
      </w:r>
      <w:r w:rsidR="000E18E4" w:rsidRPr="006D7307">
        <w:rPr>
          <w:rFonts w:ascii="Times New Roman" w:hAnsi="Times New Roman" w:cs="Times New Roman"/>
          <w:color w:val="000000" w:themeColor="text1"/>
          <w:sz w:val="24"/>
          <w:szCs w:val="24"/>
        </w:rPr>
        <w:t>În unele cazuri, simpla consiliere a clientului cu privire la situația sa financiară poate fi suficientă pentru a evita ca un credit să devină neperformant.</w:t>
      </w:r>
    </w:p>
    <w:p w:rsidR="000E18E4" w:rsidRPr="006D7307" w:rsidRDefault="00F65739"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sidRPr="006D7307">
        <w:rPr>
          <w:rFonts w:ascii="Times New Roman" w:hAnsi="Times New Roman" w:cs="Times New Roman"/>
          <w:color w:val="000000" w:themeColor="text1"/>
          <w:sz w:val="24"/>
          <w:szCs w:val="24"/>
        </w:rPr>
        <w:tab/>
      </w:r>
      <w:r w:rsidR="000E18E4" w:rsidRPr="006D7307">
        <w:rPr>
          <w:rFonts w:ascii="Times New Roman" w:hAnsi="Times New Roman" w:cs="Times New Roman"/>
          <w:color w:val="000000" w:themeColor="text1"/>
          <w:sz w:val="24"/>
          <w:szCs w:val="24"/>
        </w:rPr>
        <w:t>Băncile au la dispoziție o serie de opțiuni pentru a reduce nivelul creditelor neperformante din evidențele lor contabile. O posibilitate o constituie renegocierea cu debitorii a termenilor contractelor de creditare. Aceasta ar putea însemna, de exemplu, acordarea unui interval mai mare de timp debitorilor pentru rambursarea creditului.</w:t>
      </w:r>
    </w:p>
    <w:p w:rsidR="000E18E4" w:rsidRPr="006D7307" w:rsidRDefault="00F65739"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sidRPr="006D7307">
        <w:rPr>
          <w:rFonts w:ascii="Times New Roman" w:hAnsi="Times New Roman" w:cs="Times New Roman"/>
          <w:color w:val="000000" w:themeColor="text1"/>
          <w:sz w:val="24"/>
          <w:szCs w:val="24"/>
        </w:rPr>
        <w:tab/>
      </w:r>
      <w:r w:rsidR="000E18E4" w:rsidRPr="006D7307">
        <w:rPr>
          <w:rFonts w:ascii="Times New Roman" w:hAnsi="Times New Roman" w:cs="Times New Roman"/>
          <w:color w:val="000000" w:themeColor="text1"/>
          <w:sz w:val="24"/>
          <w:szCs w:val="24"/>
        </w:rPr>
        <w:t>O astfel de măsură ar putea permite unei persoane care și</w:t>
      </w:r>
      <w:r w:rsidR="000E18E4" w:rsidRPr="00AC0982">
        <w:rPr>
          <w:rFonts w:ascii="Times New Roman" w:hAnsi="Times New Roman" w:cs="Times New Roman"/>
          <w:b/>
          <w:color w:val="000000" w:themeColor="text1"/>
          <w:sz w:val="24"/>
          <w:szCs w:val="24"/>
        </w:rPr>
        <w:t>-</w:t>
      </w:r>
      <w:r w:rsidR="000E18E4" w:rsidRPr="006D7307">
        <w:rPr>
          <w:rFonts w:ascii="Times New Roman" w:hAnsi="Times New Roman" w:cs="Times New Roman"/>
          <w:color w:val="000000" w:themeColor="text1"/>
          <w:sz w:val="24"/>
          <w:szCs w:val="24"/>
        </w:rPr>
        <w:t xml:space="preserve">a pierdut locul de muncă sau unei </w:t>
      </w:r>
      <w:r w:rsidRPr="006D7307">
        <w:rPr>
          <w:rFonts w:ascii="Times New Roman" w:hAnsi="Times New Roman" w:cs="Times New Roman"/>
          <w:color w:val="000000" w:themeColor="text1"/>
          <w:sz w:val="24"/>
          <w:szCs w:val="24"/>
        </w:rPr>
        <w:t xml:space="preserve">firme </w:t>
      </w:r>
      <w:r w:rsidR="000E18E4" w:rsidRPr="006D7307">
        <w:rPr>
          <w:rFonts w:ascii="Times New Roman" w:hAnsi="Times New Roman" w:cs="Times New Roman"/>
          <w:color w:val="000000" w:themeColor="text1"/>
          <w:sz w:val="24"/>
          <w:szCs w:val="24"/>
        </w:rPr>
        <w:t>care se confruntă cu probleme financiare temporare să supraviețuiască din punct de vedere financiar și, în cele din urmă, să își ramburseze împrumutul.</w:t>
      </w:r>
    </w:p>
    <w:p w:rsidR="000E18E4" w:rsidRPr="006D7307" w:rsidRDefault="00F65739"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sidRPr="006D7307">
        <w:rPr>
          <w:rFonts w:ascii="Times New Roman" w:hAnsi="Times New Roman" w:cs="Times New Roman"/>
          <w:color w:val="000000" w:themeColor="text1"/>
          <w:sz w:val="24"/>
          <w:szCs w:val="24"/>
        </w:rPr>
        <w:tab/>
      </w:r>
      <w:r w:rsidR="000E18E4" w:rsidRPr="006D7307">
        <w:rPr>
          <w:rFonts w:ascii="Times New Roman" w:hAnsi="Times New Roman" w:cs="Times New Roman"/>
          <w:color w:val="000000" w:themeColor="text1"/>
          <w:sz w:val="24"/>
          <w:szCs w:val="24"/>
        </w:rPr>
        <w:t>O bancă poate decide, de asemenea, să vândă creditele neperformante unor investitori, care solicită, de regulă, o actualizare a valorii acestora. Banca ar putea înregistra o pierdere în urma unei astfel de tranzacții, dar scoaterea completă din evidențele contabile ar conduce, în general, la o pierdere și mai ridicată.</w:t>
      </w:r>
    </w:p>
    <w:p w:rsidR="000E18E4" w:rsidRPr="006D7307" w:rsidRDefault="00F65739"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sidRPr="006D7307">
        <w:rPr>
          <w:rFonts w:ascii="Times New Roman" w:hAnsi="Times New Roman" w:cs="Times New Roman"/>
          <w:color w:val="000000" w:themeColor="text1"/>
          <w:sz w:val="24"/>
          <w:szCs w:val="24"/>
        </w:rPr>
        <w:tab/>
      </w:r>
      <w:r w:rsidR="000E18E4" w:rsidRPr="006D7307">
        <w:rPr>
          <w:rFonts w:ascii="Times New Roman" w:hAnsi="Times New Roman" w:cs="Times New Roman"/>
          <w:color w:val="000000" w:themeColor="text1"/>
          <w:sz w:val="24"/>
          <w:szCs w:val="24"/>
        </w:rPr>
        <w:t>În cazul în care niciuna dintre tentativele de a găsi o soluție nu este reușită, de exemplu deoarece debitorul este insolvent, băncile pot recurge la căile legale pentru a încerca să recupereze cel puțin o parte din fonduri.</w:t>
      </w:r>
    </w:p>
    <w:p w:rsidR="000E18E4" w:rsidRDefault="00F65739" w:rsidP="000E18E4">
      <w:pPr>
        <w:autoSpaceDE w:val="0"/>
        <w:autoSpaceDN w:val="0"/>
        <w:adjustRightInd w:val="0"/>
        <w:spacing w:after="0" w:line="240" w:lineRule="auto"/>
        <w:jc w:val="both"/>
        <w:rPr>
          <w:rFonts w:ascii="Times New Roman" w:hAnsi="Times New Roman" w:cs="Times New Roman"/>
          <w:color w:val="000000" w:themeColor="text1"/>
          <w:sz w:val="24"/>
          <w:szCs w:val="24"/>
        </w:rPr>
      </w:pPr>
      <w:r w:rsidRPr="006D7307">
        <w:rPr>
          <w:rFonts w:ascii="Times New Roman" w:hAnsi="Times New Roman" w:cs="Times New Roman"/>
          <w:color w:val="000000" w:themeColor="text1"/>
          <w:sz w:val="24"/>
          <w:szCs w:val="24"/>
        </w:rPr>
        <w:tab/>
      </w:r>
      <w:r w:rsidR="000E18E4" w:rsidRPr="006D7307">
        <w:rPr>
          <w:rFonts w:ascii="Times New Roman" w:hAnsi="Times New Roman" w:cs="Times New Roman"/>
          <w:color w:val="000000" w:themeColor="text1"/>
          <w:sz w:val="24"/>
          <w:szCs w:val="24"/>
        </w:rPr>
        <w:t xml:space="preserve">Soluționarea problemei creditelor neperformante din sistemul bancar european reprezintă una dintre prioritățile principale ale activității de supraveghere a BCE. </w:t>
      </w:r>
    </w:p>
    <w:p w:rsidR="00F37754" w:rsidRDefault="00F37754" w:rsidP="00F37754">
      <w:pPr>
        <w:pStyle w:val="ListParagraph"/>
        <w:spacing w:line="240" w:lineRule="auto"/>
        <w:ind w:left="0"/>
        <w:jc w:val="both"/>
        <w:rPr>
          <w:rFonts w:ascii="Times New Roman" w:hAnsi="Times New Roman" w:cs="Times New Roman"/>
          <w:b/>
          <w:sz w:val="24"/>
          <w:szCs w:val="24"/>
          <w:lang w:val="pt-PT"/>
        </w:rPr>
      </w:pPr>
      <w:r>
        <w:rPr>
          <w:rFonts w:ascii="Times New Roman" w:hAnsi="Times New Roman" w:cs="Times New Roman"/>
          <w:b/>
          <w:color w:val="222222"/>
          <w:sz w:val="24"/>
          <w:szCs w:val="24"/>
          <w:shd w:val="clear" w:color="auto" w:fill="FFFFFF"/>
        </w:rPr>
        <w:t>2</w:t>
      </w:r>
      <w:r w:rsidRPr="001009E2">
        <w:rPr>
          <w:rFonts w:ascii="Times New Roman" w:hAnsi="Times New Roman" w:cs="Times New Roman"/>
          <w:b/>
          <w:color w:val="222222"/>
          <w:sz w:val="24"/>
          <w:szCs w:val="24"/>
          <w:shd w:val="clear" w:color="auto" w:fill="FFFFFF"/>
        </w:rPr>
        <w:t>.</w:t>
      </w:r>
      <w:r>
        <w:rPr>
          <w:rFonts w:ascii="Times New Roman" w:hAnsi="Times New Roman" w:cs="Times New Roman"/>
          <w:b/>
          <w:color w:val="222222"/>
          <w:sz w:val="28"/>
          <w:szCs w:val="28"/>
          <w:shd w:val="clear" w:color="auto" w:fill="FFFFFF"/>
        </w:rPr>
        <w:t xml:space="preserve"> </w:t>
      </w:r>
      <w:r w:rsidRPr="006D7307">
        <w:rPr>
          <w:rFonts w:ascii="Times New Roman" w:hAnsi="Times New Roman" w:cs="Times New Roman"/>
          <w:b/>
          <w:sz w:val="24"/>
          <w:szCs w:val="24"/>
          <w:lang w:val="pt-PT"/>
        </w:rPr>
        <w:t>RISCUL DE CREDIT ȘI CALITATEA ACTIVELOR BANCARE PRIN PRISMA INDICATORILOR DE ANALIZĂ</w:t>
      </w:r>
    </w:p>
    <w:p w:rsidR="00F37754" w:rsidRPr="007213FE" w:rsidRDefault="00F37754" w:rsidP="00F37754">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lang w:val="pt-PT"/>
        </w:rPr>
        <w:tab/>
      </w:r>
      <w:r w:rsidRPr="00755EF5">
        <w:rPr>
          <w:rFonts w:ascii="Times New Roman" w:hAnsi="Times New Roman" w:cs="Times New Roman"/>
          <w:sz w:val="24"/>
          <w:szCs w:val="24"/>
          <w:lang w:val="pt-PT"/>
        </w:rPr>
        <w:t xml:space="preserve">Prin </w:t>
      </w:r>
      <w:r w:rsidRPr="001B28C5">
        <w:rPr>
          <w:rFonts w:ascii="Times New Roman" w:hAnsi="Times New Roman" w:cs="Times New Roman"/>
          <w:sz w:val="24"/>
          <w:szCs w:val="24"/>
          <w:lang w:val="pt-PT"/>
        </w:rPr>
        <w:t xml:space="preserve">risc în </w:t>
      </w:r>
      <w:r w:rsidRPr="001B28C5">
        <w:rPr>
          <w:rFonts w:ascii="Times New Roman" w:hAnsi="Times New Roman" w:cs="Times New Roman"/>
          <w:b/>
          <w:sz w:val="24"/>
          <w:szCs w:val="24"/>
          <w:lang w:val="pt-PT"/>
        </w:rPr>
        <w:t>activitatea de creditare</w:t>
      </w:r>
      <w:r w:rsidRPr="00755EF5">
        <w:rPr>
          <w:rFonts w:ascii="Times New Roman" w:hAnsi="Times New Roman" w:cs="Times New Roman"/>
          <w:sz w:val="24"/>
          <w:szCs w:val="24"/>
          <w:lang w:val="pt-PT"/>
        </w:rPr>
        <w:t xml:space="preserve"> se înţelege posibilitatea producerii în viitor a unor evenimente în activitatea clienţilor cu efecte negative în ceea ce </w:t>
      </w:r>
      <w:r>
        <w:rPr>
          <w:rFonts w:ascii="Times New Roman" w:hAnsi="Times New Roman" w:cs="Times New Roman"/>
          <w:sz w:val="24"/>
          <w:szCs w:val="24"/>
          <w:lang w:val="pt-PT"/>
        </w:rPr>
        <w:t>priveşte recuperarea creditelor sau încasarea dobânzilor</w:t>
      </w:r>
      <w:r w:rsidRPr="00755EF5">
        <w:rPr>
          <w:rFonts w:ascii="Times New Roman" w:hAnsi="Times New Roman" w:cs="Times New Roman"/>
          <w:sz w:val="24"/>
          <w:szCs w:val="24"/>
          <w:lang w:val="pt-PT"/>
        </w:rPr>
        <w:t>.</w:t>
      </w:r>
      <w:r w:rsidR="007213FE">
        <w:rPr>
          <w:rFonts w:ascii="Times New Roman" w:hAnsi="Times New Roman" w:cs="Times New Roman"/>
          <w:sz w:val="24"/>
          <w:szCs w:val="24"/>
        </w:rPr>
        <w:t>[8]</w:t>
      </w:r>
    </w:p>
    <w:p w:rsidR="00F37754" w:rsidRDefault="00F37754" w:rsidP="00F37754">
      <w:pPr>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ab/>
      </w:r>
      <w:r w:rsidRPr="00F428D3">
        <w:rPr>
          <w:rFonts w:ascii="Times New Roman" w:hAnsi="Times New Roman" w:cs="Times New Roman"/>
          <w:sz w:val="24"/>
          <w:szCs w:val="24"/>
          <w:lang w:val="pt-PT"/>
        </w:rPr>
        <w:t>Ind</w:t>
      </w:r>
      <w:r>
        <w:rPr>
          <w:rFonts w:ascii="Times New Roman" w:hAnsi="Times New Roman" w:cs="Times New Roman"/>
          <w:sz w:val="24"/>
          <w:szCs w:val="24"/>
          <w:lang w:val="pt-PT"/>
        </w:rPr>
        <w:t xml:space="preserve">icatorii pentru evaluarea </w:t>
      </w:r>
      <w:r w:rsidRPr="00535C60">
        <w:rPr>
          <w:rFonts w:ascii="Times New Roman" w:hAnsi="Times New Roman" w:cs="Times New Roman"/>
          <w:b/>
          <w:sz w:val="24"/>
          <w:szCs w:val="24"/>
          <w:lang w:val="pt-PT"/>
        </w:rPr>
        <w:t>calității activelor</w:t>
      </w:r>
      <w:r>
        <w:rPr>
          <w:rFonts w:ascii="Times New Roman" w:hAnsi="Times New Roman" w:cs="Times New Roman"/>
          <w:sz w:val="24"/>
          <w:szCs w:val="24"/>
          <w:lang w:val="pt-PT"/>
        </w:rPr>
        <w:t xml:space="preserve"> sunt utilizati pentru a evidenția structura activelor unei bă</w:t>
      </w:r>
      <w:r w:rsidRPr="00F428D3">
        <w:rPr>
          <w:rFonts w:ascii="Times New Roman" w:hAnsi="Times New Roman" w:cs="Times New Roman"/>
          <w:sz w:val="24"/>
          <w:szCs w:val="24"/>
          <w:lang w:val="pt-PT"/>
        </w:rPr>
        <w:t>nci din</w:t>
      </w:r>
      <w:r>
        <w:rPr>
          <w:rFonts w:ascii="Times New Roman" w:hAnsi="Times New Roman" w:cs="Times New Roman"/>
          <w:sz w:val="24"/>
          <w:szCs w:val="24"/>
          <w:lang w:val="pt-PT"/>
        </w:rPr>
        <w:t xml:space="preserve"> punct de vedere al performanței, cât și din punct de vedere al capacităț</w:t>
      </w:r>
      <w:r w:rsidRPr="00F428D3">
        <w:rPr>
          <w:rFonts w:ascii="Times New Roman" w:hAnsi="Times New Roman" w:cs="Times New Roman"/>
          <w:sz w:val="24"/>
          <w:szCs w:val="24"/>
          <w:lang w:val="pt-PT"/>
        </w:rPr>
        <w:t xml:space="preserve">ii </w:t>
      </w:r>
      <w:r>
        <w:rPr>
          <w:rFonts w:ascii="Times New Roman" w:hAnsi="Times New Roman" w:cs="Times New Roman"/>
          <w:sz w:val="24"/>
          <w:szCs w:val="24"/>
          <w:lang w:val="pt-PT"/>
        </w:rPr>
        <w:t xml:space="preserve">activității acesteia de a </w:t>
      </w:r>
      <w:r w:rsidRPr="00F428D3">
        <w:rPr>
          <w:rFonts w:ascii="Times New Roman" w:hAnsi="Times New Roman" w:cs="Times New Roman"/>
          <w:sz w:val="24"/>
          <w:szCs w:val="24"/>
          <w:lang w:val="pt-PT"/>
        </w:rPr>
        <w:t>gener</w:t>
      </w:r>
      <w:r>
        <w:rPr>
          <w:rFonts w:ascii="Times New Roman" w:hAnsi="Times New Roman" w:cs="Times New Roman"/>
          <w:sz w:val="24"/>
          <w:szCs w:val="24"/>
          <w:lang w:val="pt-PT"/>
        </w:rPr>
        <w:t>a venituri. În practica internațională, spre exemplu, acești indicatori sunt folosiț</w:t>
      </w:r>
      <w:r w:rsidRPr="00F428D3">
        <w:rPr>
          <w:rFonts w:ascii="Times New Roman" w:hAnsi="Times New Roman" w:cs="Times New Roman"/>
          <w:sz w:val="24"/>
          <w:szCs w:val="24"/>
          <w:lang w:val="pt-PT"/>
        </w:rPr>
        <w:t>i pentru a identifica problemele p</w:t>
      </w:r>
      <w:r>
        <w:rPr>
          <w:rFonts w:ascii="Times New Roman" w:hAnsi="Times New Roman" w:cs="Times New Roman"/>
          <w:sz w:val="24"/>
          <w:szCs w:val="24"/>
          <w:lang w:val="pt-PT"/>
        </w:rPr>
        <w:t>rivind calitatea activelor din întreg portofoliu ș</w:t>
      </w:r>
      <w:r w:rsidRPr="00F428D3">
        <w:rPr>
          <w:rFonts w:ascii="Times New Roman" w:hAnsi="Times New Roman" w:cs="Times New Roman"/>
          <w:sz w:val="24"/>
          <w:szCs w:val="24"/>
          <w:lang w:val="pt-PT"/>
        </w:rPr>
        <w:t xml:space="preserve">i </w:t>
      </w:r>
      <w:r>
        <w:rPr>
          <w:rFonts w:ascii="Times New Roman" w:hAnsi="Times New Roman" w:cs="Times New Roman"/>
          <w:sz w:val="24"/>
          <w:szCs w:val="24"/>
          <w:lang w:val="pt-PT"/>
        </w:rPr>
        <w:t>sunt calculaț</w:t>
      </w:r>
      <w:r w:rsidRPr="00F428D3">
        <w:rPr>
          <w:rFonts w:ascii="Times New Roman" w:hAnsi="Times New Roman" w:cs="Times New Roman"/>
          <w:sz w:val="24"/>
          <w:szCs w:val="24"/>
          <w:lang w:val="pt-PT"/>
        </w:rPr>
        <w:t xml:space="preserve">i cu ajutorul nivelului valorii </w:t>
      </w:r>
      <w:r>
        <w:rPr>
          <w:rFonts w:ascii="Times New Roman" w:hAnsi="Times New Roman" w:cs="Times New Roman"/>
          <w:sz w:val="24"/>
          <w:szCs w:val="24"/>
          <w:lang w:val="pt-PT"/>
        </w:rPr>
        <w:t>creditelor neperformante (NPL).</w:t>
      </w:r>
    </w:p>
    <w:p w:rsidR="008459F3" w:rsidRDefault="00F37754" w:rsidP="00F37754">
      <w:pPr>
        <w:spacing w:after="0" w:line="240" w:lineRule="auto"/>
        <w:jc w:val="both"/>
        <w:rPr>
          <w:rFonts w:ascii="Times New Roman" w:hAnsi="Times New Roman" w:cs="Times New Roman"/>
          <w:b/>
          <w:color w:val="FF0000"/>
          <w:sz w:val="24"/>
          <w:szCs w:val="24"/>
          <w:lang w:val="ro-RO"/>
        </w:rPr>
      </w:pPr>
      <w:r>
        <w:rPr>
          <w:rFonts w:ascii="Times New Roman" w:hAnsi="Times New Roman" w:cs="Times New Roman"/>
          <w:b/>
          <w:sz w:val="24"/>
          <w:szCs w:val="24"/>
          <w:lang w:val="pt-PT"/>
        </w:rPr>
        <w:tab/>
      </w:r>
      <w:r w:rsidRPr="00535C60">
        <w:rPr>
          <w:rFonts w:ascii="Times New Roman" w:hAnsi="Times New Roman" w:cs="Times New Roman"/>
          <w:b/>
          <w:sz w:val="24"/>
          <w:szCs w:val="24"/>
          <w:lang w:val="pt-PT"/>
        </w:rPr>
        <w:t>Creditele neperformante</w:t>
      </w:r>
      <w:r w:rsidRPr="00F428D3">
        <w:rPr>
          <w:rFonts w:ascii="Times New Roman" w:hAnsi="Times New Roman" w:cs="Times New Roman"/>
          <w:sz w:val="24"/>
          <w:szCs w:val="24"/>
          <w:lang w:val="pt-PT"/>
        </w:rPr>
        <w:t xml:space="preserve"> reprezintă angajamentele de plată pe care clientul, persoană fizică sau juridică, nu și le respectă, generând astfel credite restante și dobânzi neachitate care vor avea efecte negative asupra activului, al solvabilității, precum și a</w:t>
      </w:r>
      <w:r>
        <w:rPr>
          <w:rFonts w:ascii="Times New Roman" w:hAnsi="Times New Roman" w:cs="Times New Roman"/>
          <w:sz w:val="24"/>
          <w:szCs w:val="24"/>
          <w:lang w:val="pt-PT"/>
        </w:rPr>
        <w:t>supra</w:t>
      </w:r>
      <w:r w:rsidRPr="00F428D3">
        <w:rPr>
          <w:rFonts w:ascii="Times New Roman" w:hAnsi="Times New Roman" w:cs="Times New Roman"/>
          <w:sz w:val="24"/>
          <w:szCs w:val="24"/>
          <w:lang w:val="pt-PT"/>
        </w:rPr>
        <w:t xml:space="preserve"> cheltuielilor </w:t>
      </w:r>
      <w:r w:rsidRPr="00F428D3">
        <w:rPr>
          <w:rFonts w:ascii="Times New Roman" w:hAnsi="Times New Roman" w:cs="Times New Roman"/>
          <w:sz w:val="24"/>
          <w:szCs w:val="24"/>
          <w:lang w:val="pt-PT"/>
        </w:rPr>
        <w:lastRenderedPageBreak/>
        <w:t xml:space="preserve">băncilor. De aceea un </w:t>
      </w:r>
      <w:r w:rsidRPr="00535C60">
        <w:rPr>
          <w:rFonts w:ascii="Times New Roman" w:hAnsi="Times New Roman" w:cs="Times New Roman"/>
          <w:b/>
          <w:sz w:val="24"/>
          <w:szCs w:val="24"/>
          <w:lang w:val="pt-PT"/>
        </w:rPr>
        <w:t>credit neperformant</w:t>
      </w:r>
      <w:r w:rsidRPr="00F428D3">
        <w:rPr>
          <w:rFonts w:ascii="Times New Roman" w:hAnsi="Times New Roman" w:cs="Times New Roman"/>
          <w:sz w:val="24"/>
          <w:szCs w:val="24"/>
          <w:lang w:val="pt-PT"/>
        </w:rPr>
        <w:t xml:space="preserve"> este un împrumut obișnuit care poate fi sau deja este înregistrat de bănci ca fiind un credit aducător de pierderi, fapt pentru care aceste tipuri de credite sunt considerate a fi una dintre principalel cauze care duc la stagnarea economiei naționale</w:t>
      </w:r>
      <w:r w:rsidR="008459F3">
        <w:rPr>
          <w:rFonts w:ascii="Times New Roman" w:hAnsi="Times New Roman" w:cs="Times New Roman"/>
          <w:sz w:val="24"/>
          <w:szCs w:val="24"/>
          <w:lang w:val="pt-PT"/>
        </w:rPr>
        <w:t>.</w:t>
      </w:r>
      <w:r>
        <w:rPr>
          <w:rFonts w:ascii="Times New Roman" w:hAnsi="Times New Roman" w:cs="Times New Roman"/>
          <w:b/>
          <w:color w:val="FF0000"/>
          <w:sz w:val="24"/>
          <w:szCs w:val="24"/>
          <w:lang w:val="ro-RO"/>
        </w:rPr>
        <w:tab/>
      </w:r>
    </w:p>
    <w:p w:rsidR="00F37754" w:rsidRPr="001D7420" w:rsidRDefault="008459F3" w:rsidP="00F37754">
      <w:pPr>
        <w:spacing w:after="0" w:line="240" w:lineRule="auto"/>
        <w:jc w:val="both"/>
        <w:rPr>
          <w:rFonts w:ascii="Times New Roman" w:hAnsi="Times New Roman" w:cs="Times New Roman"/>
          <w:b/>
          <w:sz w:val="24"/>
          <w:szCs w:val="24"/>
          <w:lang w:val="ro-RO"/>
        </w:rPr>
      </w:pPr>
      <w:r>
        <w:rPr>
          <w:rFonts w:ascii="Times New Roman" w:hAnsi="Times New Roman" w:cs="Times New Roman"/>
          <w:b/>
          <w:color w:val="FF0000"/>
          <w:sz w:val="24"/>
          <w:szCs w:val="24"/>
          <w:lang w:val="ro-RO"/>
        </w:rPr>
        <w:tab/>
      </w:r>
      <w:r w:rsidR="00F37754" w:rsidRPr="001D7420">
        <w:rPr>
          <w:rFonts w:ascii="Times New Roman" w:hAnsi="Times New Roman" w:cs="Times New Roman"/>
          <w:b/>
          <w:sz w:val="24"/>
          <w:szCs w:val="24"/>
          <w:lang w:val="ro-RO"/>
        </w:rPr>
        <w:t>Există diverse definții ale acestui termen în funcție de tipul creditelor și politica împrumutătorului. Atunci când plata ratei și dobanzii unui credit este restantă de 90 de zile sau mai mult, creditul este considerat a fi neperformant iar debitorul în incapacitate de plată.</w:t>
      </w:r>
    </w:p>
    <w:p w:rsidR="00F37754" w:rsidRPr="001D7420" w:rsidRDefault="00F37754" w:rsidP="00F37754">
      <w:pPr>
        <w:spacing w:after="0" w:line="240" w:lineRule="auto"/>
        <w:jc w:val="both"/>
        <w:rPr>
          <w:rFonts w:ascii="Times New Roman" w:hAnsi="Times New Roman" w:cs="Times New Roman"/>
          <w:sz w:val="24"/>
          <w:szCs w:val="24"/>
          <w:lang w:val="ro-RO"/>
        </w:rPr>
      </w:pPr>
      <w:r w:rsidRPr="001D7420">
        <w:rPr>
          <w:rFonts w:ascii="Times New Roman" w:hAnsi="Times New Roman" w:cs="Times New Roman"/>
          <w:sz w:val="24"/>
          <w:szCs w:val="24"/>
          <w:lang w:val="ro-RO"/>
        </w:rPr>
        <w:tab/>
        <w:t>Creditele neperformante se pot defini ca fiind acele împrumuturi acordate clienților a căror situație economico</w:t>
      </w:r>
      <w:r w:rsidRPr="001D7420">
        <w:rPr>
          <w:rFonts w:ascii="Times New Roman" w:hAnsi="Times New Roman" w:cs="Times New Roman"/>
          <w:b/>
          <w:sz w:val="24"/>
          <w:szCs w:val="24"/>
          <w:lang w:val="ro-RO"/>
        </w:rPr>
        <w:t>-</w:t>
      </w:r>
      <w:r w:rsidRPr="001D7420">
        <w:rPr>
          <w:rFonts w:ascii="Times New Roman" w:hAnsi="Times New Roman" w:cs="Times New Roman"/>
          <w:sz w:val="24"/>
          <w:szCs w:val="24"/>
          <w:lang w:val="ro-RO"/>
        </w:rPr>
        <w:t>financiară, deteriorată din diverse cauze, în diferite faze ale procesului de creditare, nu mai asigură condiții de rambursare integrală sau parțială a creditului sau de achitare a dobânzilor și comisioanelor aferente.</w:t>
      </w:r>
    </w:p>
    <w:p w:rsidR="00F37754" w:rsidRPr="001D7420" w:rsidRDefault="00F37754" w:rsidP="00F37754">
      <w:pPr>
        <w:spacing w:after="0" w:line="240" w:lineRule="auto"/>
        <w:jc w:val="both"/>
        <w:rPr>
          <w:rFonts w:ascii="Times New Roman" w:hAnsi="Times New Roman" w:cs="Times New Roman"/>
          <w:sz w:val="24"/>
          <w:szCs w:val="24"/>
          <w:lang w:val="pt-PT"/>
        </w:rPr>
      </w:pPr>
      <w:r w:rsidRPr="001D7420">
        <w:rPr>
          <w:rFonts w:ascii="Times New Roman" w:hAnsi="Times New Roman" w:cs="Times New Roman"/>
          <w:sz w:val="24"/>
          <w:szCs w:val="24"/>
          <w:lang w:val="pt-PT"/>
        </w:rPr>
        <w:tab/>
        <w:t>Nivelul acestor credite trebuie însă să se situeze la un nivel cât mai redus, datorită impactului asupra profitabilității bancii. Acest deziderat se poate atinge numai printr</w:t>
      </w:r>
      <w:r w:rsidRPr="001D7420">
        <w:rPr>
          <w:rFonts w:ascii="Times New Roman" w:hAnsi="Times New Roman" w:cs="Times New Roman"/>
          <w:b/>
          <w:sz w:val="24"/>
          <w:szCs w:val="24"/>
          <w:lang w:val="pt-PT"/>
        </w:rPr>
        <w:t>-</w:t>
      </w:r>
      <w:r w:rsidRPr="001D7420">
        <w:rPr>
          <w:rFonts w:ascii="Times New Roman" w:hAnsi="Times New Roman" w:cs="Times New Roman"/>
          <w:sz w:val="24"/>
          <w:szCs w:val="24"/>
          <w:lang w:val="pt-PT"/>
        </w:rPr>
        <w:t>o politică de creditare prudentă, practicată în funcție de conjunctura economică și mediul financiar precum și printr-o clasificare și apreciere corespunzătoare a riscului.</w:t>
      </w:r>
    </w:p>
    <w:p w:rsidR="00F37754" w:rsidRPr="001D7420" w:rsidRDefault="00F37754" w:rsidP="00F37754">
      <w:pPr>
        <w:spacing w:after="0" w:line="240" w:lineRule="auto"/>
        <w:jc w:val="both"/>
        <w:rPr>
          <w:rFonts w:ascii="Times New Roman" w:hAnsi="Times New Roman" w:cs="Times New Roman"/>
          <w:sz w:val="24"/>
          <w:szCs w:val="24"/>
          <w:lang w:val="ro-RO"/>
        </w:rPr>
      </w:pPr>
      <w:r w:rsidRPr="001D7420">
        <w:rPr>
          <w:rFonts w:ascii="Times New Roman" w:hAnsi="Times New Roman" w:cs="Times New Roman"/>
          <w:sz w:val="24"/>
          <w:szCs w:val="24"/>
          <w:lang w:val="pt-PT"/>
        </w:rPr>
        <w:tab/>
        <w:t xml:space="preserve">Un credit poate deveni neperformant în oricare din fazele procesului de creditare, inclusiv în faza de analiză, datorită unor cauze dependente sau independente de practica bancară, dar în aceasta fază el nu se manifestă practic, trebuie trecut în categoria neperformante atunci când el devine o </w:t>
      </w:r>
      <w:r w:rsidRPr="001D7420">
        <w:rPr>
          <w:rFonts w:ascii="Times New Roman" w:hAnsi="Times New Roman" w:cs="Times New Roman"/>
          <w:sz w:val="24"/>
          <w:szCs w:val="24"/>
          <w:lang w:val="ro-RO"/>
        </w:rPr>
        <w:t xml:space="preserve">certitudine, deci atunci când recuperarea lui devine o problemă pentru bancă sau când clienții creditați nu mai asigură condiții de rambursare sau de achitare a dobânzilor, sau și una și alta. </w:t>
      </w:r>
    </w:p>
    <w:p w:rsidR="00F37754" w:rsidRPr="001D7420" w:rsidRDefault="00F37754" w:rsidP="00F37754">
      <w:pPr>
        <w:spacing w:after="0" w:line="240" w:lineRule="auto"/>
        <w:jc w:val="both"/>
        <w:rPr>
          <w:rFonts w:ascii="Times New Roman" w:hAnsi="Times New Roman" w:cs="Times New Roman"/>
          <w:sz w:val="24"/>
          <w:szCs w:val="24"/>
          <w:lang w:val="pt-PT"/>
        </w:rPr>
      </w:pPr>
      <w:r w:rsidRPr="001D7420">
        <w:rPr>
          <w:rFonts w:ascii="Times New Roman" w:hAnsi="Times New Roman" w:cs="Times New Roman"/>
          <w:sz w:val="24"/>
          <w:szCs w:val="24"/>
          <w:lang w:val="ro-RO"/>
        </w:rPr>
        <w:tab/>
        <w:t>Existența creditelor neperformante, ca o categorie aparte de credite precum și efectele negative ale acestora, a făcut necesară gestiunea separată a acestor tipuri de credite, încadrarea într-un portofoliu al creditelor neperformante. În momentul în care apar aceste credite, rezultă și o serie de efecte negative resimțite de bancă, client dar și la nivel macroeconomic. Simpla enumerare a acestor efecte negative ale creditelor neperformante ne arată de ce băncile trebuie să deruleze o activitate de creditare performantă.</w:t>
      </w:r>
    </w:p>
    <w:p w:rsidR="00F37754" w:rsidRPr="000B7E2C" w:rsidRDefault="00F37754" w:rsidP="00F37754">
      <w:pPr>
        <w:spacing w:after="0" w:line="240" w:lineRule="auto"/>
        <w:jc w:val="both"/>
        <w:rPr>
          <w:rFonts w:ascii="Times New Roman" w:hAnsi="Times New Roman" w:cs="Times New Roman"/>
          <w:b/>
          <w:sz w:val="24"/>
          <w:szCs w:val="24"/>
          <w:lang w:val="ro-RO"/>
        </w:rPr>
      </w:pPr>
      <w:r w:rsidRPr="001D7420">
        <w:rPr>
          <w:rFonts w:ascii="Times New Roman" w:hAnsi="Times New Roman" w:cs="Times New Roman"/>
          <w:sz w:val="24"/>
          <w:szCs w:val="24"/>
          <w:lang w:val="ro-RO"/>
        </w:rPr>
        <w:tab/>
      </w:r>
      <w:r w:rsidRPr="000B7E2C">
        <w:rPr>
          <w:rFonts w:ascii="Times New Roman" w:hAnsi="Times New Roman" w:cs="Times New Roman"/>
          <w:b/>
          <w:sz w:val="24"/>
          <w:szCs w:val="24"/>
          <w:lang w:val="ro-RO"/>
        </w:rPr>
        <w:t>Întrucât nu există o definiție standard pentru NPL, pentru o mai bună comparabilitate a datelor folosite, Ghidul de compilare FMI</w:t>
      </w:r>
      <w:r w:rsidR="008459F3" w:rsidRPr="000B7E2C">
        <w:rPr>
          <w:rFonts w:ascii="Times New Roman" w:hAnsi="Times New Roman" w:cs="Times New Roman"/>
          <w:b/>
          <w:sz w:val="24"/>
          <w:szCs w:val="24"/>
          <w:lang w:val="ro-RO"/>
        </w:rPr>
        <w:t xml:space="preserve"> </w:t>
      </w:r>
      <w:r w:rsidR="008459F3" w:rsidRPr="000B7E2C">
        <w:rPr>
          <w:rFonts w:ascii="Times New Roman" w:hAnsi="Times New Roman" w:cs="Times New Roman"/>
          <w:b/>
          <w:sz w:val="24"/>
          <w:szCs w:val="24"/>
        </w:rPr>
        <w:t>[10]</w:t>
      </w:r>
      <w:r w:rsidR="001D7420" w:rsidRPr="000B7E2C">
        <w:rPr>
          <w:rFonts w:ascii="Times New Roman" w:hAnsi="Times New Roman" w:cs="Times New Roman"/>
          <w:b/>
          <w:sz w:val="24"/>
          <w:szCs w:val="24"/>
        </w:rPr>
        <w:t xml:space="preserve"> </w:t>
      </w:r>
      <w:r w:rsidRPr="000B7E2C">
        <w:rPr>
          <w:rFonts w:ascii="Times New Roman" w:hAnsi="Times New Roman" w:cs="Times New Roman"/>
          <w:b/>
          <w:sz w:val="24"/>
          <w:szCs w:val="24"/>
          <w:lang w:val="ro-RO"/>
        </w:rPr>
        <w:t xml:space="preserve">recomandă ca împrumuturile (și alte active) să fie clasificate </w:t>
      </w:r>
      <w:r w:rsidR="000B7E2C" w:rsidRPr="000B7E2C">
        <w:rPr>
          <w:rFonts w:ascii="Times New Roman" w:hAnsi="Times New Roman" w:cs="Times New Roman"/>
          <w:b/>
          <w:sz w:val="24"/>
          <w:szCs w:val="24"/>
          <w:lang w:val="ro-RO"/>
        </w:rPr>
        <w:t>NPL</w:t>
      </w:r>
      <w:r w:rsidR="00AC0982" w:rsidRPr="000B7E2C">
        <w:rPr>
          <w:rFonts w:ascii="Times New Roman" w:hAnsi="Times New Roman" w:cs="Times New Roman"/>
          <w:b/>
          <w:sz w:val="24"/>
          <w:szCs w:val="24"/>
          <w:lang w:val="ro-RO"/>
        </w:rPr>
        <w:t xml:space="preserve"> atunci când: </w:t>
      </w:r>
      <w:r w:rsidRPr="000B7E2C">
        <w:rPr>
          <w:rFonts w:ascii="Times New Roman" w:hAnsi="Times New Roman" w:cs="Times New Roman"/>
          <w:b/>
          <w:sz w:val="24"/>
          <w:szCs w:val="24"/>
          <w:lang w:val="ro-RO"/>
        </w:rPr>
        <w:t xml:space="preserve">ratele de plată reprezentând principal și dobandă înregistrează restanțe de trei luni (90 de </w:t>
      </w:r>
      <w:r w:rsidR="00AC0982" w:rsidRPr="000B7E2C">
        <w:rPr>
          <w:rFonts w:ascii="Times New Roman" w:hAnsi="Times New Roman" w:cs="Times New Roman"/>
          <w:b/>
          <w:sz w:val="24"/>
          <w:szCs w:val="24"/>
          <w:lang w:val="ro-RO"/>
        </w:rPr>
        <w:t xml:space="preserve">zile) sau mai mult, sau </w:t>
      </w:r>
      <w:r w:rsidRPr="000B7E2C">
        <w:rPr>
          <w:rFonts w:ascii="Times New Roman" w:hAnsi="Times New Roman" w:cs="Times New Roman"/>
          <w:b/>
          <w:sz w:val="24"/>
          <w:szCs w:val="24"/>
          <w:lang w:val="ro-RO"/>
        </w:rPr>
        <w:t xml:space="preserve">dobânda de plată pentru trei luni (90 de zile) sau mai mult a fost capitalizată (reinvestită în valoarea principalului), refinanțată sau rescadențată (respectiv plata a fost amânată prin acord). </w:t>
      </w:r>
      <w:r w:rsidRPr="000B7E2C">
        <w:rPr>
          <w:rFonts w:ascii="Times New Roman" w:hAnsi="Times New Roman" w:cs="Times New Roman"/>
          <w:b/>
          <w:sz w:val="24"/>
          <w:szCs w:val="24"/>
          <w:lang w:val="ro-RO"/>
        </w:rPr>
        <w:tab/>
        <w:t xml:space="preserve">Criteriul celor 90 de zile reprezintă practica cea mai des întâlnită în diferite țări pentru determinarea împrumuturilor neperformante. </w:t>
      </w:r>
    </w:p>
    <w:p w:rsidR="00F37754" w:rsidRPr="001D7420" w:rsidRDefault="00F37754" w:rsidP="00F37754">
      <w:pPr>
        <w:spacing w:after="0" w:line="240" w:lineRule="auto"/>
        <w:jc w:val="both"/>
        <w:rPr>
          <w:rFonts w:ascii="Times New Roman" w:hAnsi="Times New Roman" w:cs="Times New Roman"/>
          <w:sz w:val="24"/>
          <w:szCs w:val="24"/>
          <w:lang w:val="ro-RO"/>
        </w:rPr>
      </w:pPr>
      <w:r w:rsidRPr="001D7420">
        <w:rPr>
          <w:rFonts w:ascii="Times New Roman" w:hAnsi="Times New Roman" w:cs="Times New Roman"/>
          <w:sz w:val="24"/>
          <w:szCs w:val="24"/>
          <w:lang w:val="ro-RO"/>
        </w:rPr>
        <w:tab/>
        <w:t>În plus, împrumuturile neperformante vor include și acele credite cu un serviciu al datoriei mai mic de 90 de zile dar care, în legislația națională, sunt recunoscute</w:t>
      </w:r>
      <w:r w:rsidR="00AC0982" w:rsidRPr="001D7420">
        <w:rPr>
          <w:rFonts w:ascii="Times New Roman" w:hAnsi="Times New Roman" w:cs="Times New Roman"/>
          <w:sz w:val="24"/>
          <w:szCs w:val="24"/>
          <w:lang w:val="ro-RO"/>
        </w:rPr>
        <w:t xml:space="preserve"> ca neperformante – în sensul că</w:t>
      </w:r>
      <w:r w:rsidRPr="001D7420">
        <w:rPr>
          <w:rFonts w:ascii="Times New Roman" w:hAnsi="Times New Roman" w:cs="Times New Roman"/>
          <w:sz w:val="24"/>
          <w:szCs w:val="24"/>
          <w:lang w:val="ro-RO"/>
        </w:rPr>
        <w:t xml:space="preserve"> există motive pentru a clasifica un împrumut ca neperformant chiar fără să înregistreze restanțe de peste 90 de zile ca, de exemplu, în situația falimentului.</w:t>
      </w:r>
    </w:p>
    <w:p w:rsidR="00F37754" w:rsidRPr="001D7420" w:rsidRDefault="00F37754" w:rsidP="00F37754">
      <w:pPr>
        <w:spacing w:after="0" w:line="240" w:lineRule="auto"/>
        <w:jc w:val="both"/>
        <w:rPr>
          <w:rFonts w:ascii="Times New Roman" w:hAnsi="Times New Roman" w:cs="Times New Roman"/>
          <w:sz w:val="24"/>
          <w:szCs w:val="24"/>
          <w:lang w:val="ro-RO"/>
        </w:rPr>
      </w:pPr>
      <w:r w:rsidRPr="001D7420">
        <w:rPr>
          <w:rFonts w:ascii="Times New Roman" w:hAnsi="Times New Roman" w:cs="Times New Roman"/>
          <w:sz w:val="24"/>
          <w:szCs w:val="24"/>
          <w:lang w:val="ro-RO"/>
        </w:rPr>
        <w:tab/>
        <w:t>Se consideră relevantă pentru analiza calității activelor, calcularea următorilor doi indicatori:</w:t>
      </w:r>
    </w:p>
    <w:p w:rsidR="00F37754" w:rsidRPr="001D7420" w:rsidRDefault="00F37754" w:rsidP="00412580">
      <w:pPr>
        <w:spacing w:after="0" w:line="240" w:lineRule="auto"/>
        <w:jc w:val="both"/>
        <w:rPr>
          <w:rFonts w:ascii="Times New Roman" w:hAnsi="Times New Roman" w:cs="Times New Roman"/>
          <w:sz w:val="24"/>
          <w:szCs w:val="24"/>
          <w:lang w:val="ro-RO"/>
        </w:rPr>
      </w:pPr>
      <w:r w:rsidRPr="001D7420">
        <w:rPr>
          <w:rFonts w:ascii="Times New Roman" w:hAnsi="Times New Roman" w:cs="Times New Roman"/>
          <w:b/>
          <w:sz w:val="24"/>
          <w:szCs w:val="24"/>
          <w:lang w:val="ro-RO"/>
        </w:rPr>
        <w:t>1.</w:t>
      </w:r>
      <w:r w:rsidRPr="001D7420">
        <w:rPr>
          <w:rFonts w:ascii="Times New Roman" w:hAnsi="Times New Roman" w:cs="Times New Roman"/>
          <w:sz w:val="24"/>
          <w:szCs w:val="24"/>
          <w:lang w:val="ro-RO"/>
        </w:rPr>
        <w:t xml:space="preserve"> Ponderea creditelor neperformante în total active: evidențiază activele care nu concură la dezvoltarea performanțelor băncii, un volum mare al acestora conducând la pierderi cu efecte majore asupra capitalului bă</w:t>
      </w:r>
      <w:r w:rsidR="00412580" w:rsidRPr="001D7420">
        <w:rPr>
          <w:rFonts w:ascii="Times New Roman" w:hAnsi="Times New Roman" w:cs="Times New Roman"/>
          <w:sz w:val="24"/>
          <w:szCs w:val="24"/>
          <w:lang w:val="ro-RO"/>
        </w:rPr>
        <w:t>ncii:</w:t>
      </w:r>
    </w:p>
    <w:p w:rsidR="00F37754" w:rsidRPr="001D7420" w:rsidRDefault="00F37754" w:rsidP="00412580">
      <w:pPr>
        <w:spacing w:line="240" w:lineRule="auto"/>
        <w:jc w:val="center"/>
        <w:rPr>
          <w:rFonts w:ascii="Times New Roman" w:hAnsi="Times New Roman" w:cs="Times New Roman"/>
          <w:sz w:val="24"/>
          <w:szCs w:val="24"/>
          <w:lang w:val="ro-RO"/>
        </w:rPr>
      </w:pPr>
      <w:r w:rsidRPr="001D7420">
        <w:rPr>
          <w:rFonts w:ascii="Times New Roman" w:hAnsi="Times New Roman" w:cs="Times New Roman"/>
          <w:sz w:val="24"/>
          <w:szCs w:val="24"/>
          <w:lang w:val="ro-RO"/>
        </w:rPr>
        <w:t>Ponderea NPL în total active</w:t>
      </w:r>
      <w:r w:rsidR="00AC0982" w:rsidRPr="001D7420">
        <w:rPr>
          <w:rFonts w:ascii="Times New Roman" w:hAnsi="Times New Roman" w:cs="Times New Roman"/>
          <w:sz w:val="24"/>
          <w:szCs w:val="24"/>
          <w:lang w:val="ro-RO"/>
        </w:rPr>
        <w:t xml:space="preserve"> </w:t>
      </w:r>
      <w:r w:rsidRPr="001D7420">
        <w:rPr>
          <w:rFonts w:ascii="Times New Roman" w:hAnsi="Times New Roman" w:cs="Times New Roman"/>
          <w:sz w:val="24"/>
          <w:szCs w:val="24"/>
          <w:lang w:val="ro-RO"/>
        </w:rPr>
        <w:t>=</w:t>
      </w:r>
      <w:r w:rsidR="00412580" w:rsidRPr="001D7420">
        <w:rPr>
          <w:rFonts w:ascii="Times New Roman" w:hAnsi="Times New Roman" w:cs="Times New Roman"/>
          <w:position w:val="-24"/>
          <w:sz w:val="24"/>
          <w:szCs w:val="24"/>
          <w:lang w:val="ro-RO"/>
        </w:rPr>
        <w:object w:dxaOrig="2260" w:dyaOrig="620">
          <v:shape id="_x0000_i1025" type="#_x0000_t75" style="width:112.7pt;height:31.3pt" o:ole="">
            <v:imagedata r:id="rId14" o:title=""/>
          </v:shape>
          <o:OLEObject Type="Embed" ProgID="Equation.3" ShapeID="_x0000_i1025" DrawAspect="Content" ObjectID="_1601883129" r:id="rId15"/>
        </w:object>
      </w:r>
      <w:r w:rsidRPr="001D7420">
        <w:rPr>
          <w:rFonts w:ascii="Times New Roman" w:hAnsi="Times New Roman" w:cs="Times New Roman"/>
          <w:sz w:val="24"/>
          <w:szCs w:val="24"/>
          <w:lang w:val="ro-RO"/>
        </w:rPr>
        <w:t xml:space="preserve"> x 100</w:t>
      </w:r>
    </w:p>
    <w:p w:rsidR="00F37754" w:rsidRPr="00005B31" w:rsidRDefault="00F37754" w:rsidP="00F37754">
      <w:pPr>
        <w:spacing w:line="240" w:lineRule="auto"/>
        <w:jc w:val="both"/>
        <w:rPr>
          <w:rFonts w:ascii="Times New Roman" w:hAnsi="Times New Roman" w:cs="Times New Roman"/>
          <w:sz w:val="24"/>
          <w:szCs w:val="24"/>
          <w:lang w:val="ro-RO"/>
        </w:rPr>
      </w:pPr>
      <w:r w:rsidRPr="00005B31">
        <w:rPr>
          <w:rFonts w:ascii="Times New Roman" w:hAnsi="Times New Roman" w:cs="Times New Roman"/>
          <w:b/>
          <w:sz w:val="24"/>
          <w:szCs w:val="24"/>
          <w:lang w:val="ro-RO"/>
        </w:rPr>
        <w:lastRenderedPageBreak/>
        <w:t>2.</w:t>
      </w:r>
      <w:r w:rsidRPr="00005B31">
        <w:rPr>
          <w:rFonts w:ascii="Times New Roman" w:hAnsi="Times New Roman" w:cs="Times New Roman"/>
          <w:sz w:val="24"/>
          <w:szCs w:val="24"/>
          <w:lang w:val="ro-RO"/>
        </w:rPr>
        <w:t xml:space="preserve"> Ponderea creditelor neperformante în total credite acordate: se calculează ca raport între valoarea creditelor neperformante și volumul total al creditelor</w:t>
      </w:r>
      <w:r w:rsidR="001D7420" w:rsidRPr="00005B31">
        <w:rPr>
          <w:rFonts w:ascii="Times New Roman" w:hAnsi="Times New Roman" w:cs="Times New Roman"/>
          <w:sz w:val="24"/>
          <w:szCs w:val="24"/>
          <w:lang w:val="ro-RO"/>
        </w:rPr>
        <w:t xml:space="preserve"> (acestea includ și creditele NPL, înainte de deducerea provizioanelor specifice pentru pierderile din credite)</w:t>
      </w:r>
      <w:r w:rsidRPr="00005B31">
        <w:rPr>
          <w:rFonts w:ascii="Times New Roman" w:hAnsi="Times New Roman" w:cs="Times New Roman"/>
          <w:sz w:val="24"/>
          <w:szCs w:val="24"/>
          <w:lang w:val="ro-RO"/>
        </w:rPr>
        <w:t>:</w:t>
      </w:r>
    </w:p>
    <w:p w:rsidR="00F37754" w:rsidRPr="003A5A14" w:rsidRDefault="00F37754" w:rsidP="00F37754">
      <w:pPr>
        <w:spacing w:line="240" w:lineRule="auto"/>
        <w:jc w:val="both"/>
        <w:rPr>
          <w:rFonts w:ascii="Times New Roman" w:hAnsi="Times New Roman" w:cs="Times New Roman"/>
          <w:color w:val="FF0000"/>
          <w:sz w:val="24"/>
          <w:szCs w:val="24"/>
          <w:lang w:val="ro-RO"/>
        </w:rPr>
      </w:pPr>
    </w:p>
    <w:p w:rsidR="00F37754" w:rsidRPr="00412580" w:rsidRDefault="00F37754" w:rsidP="001D7420">
      <w:pPr>
        <w:spacing w:line="240" w:lineRule="auto"/>
        <w:jc w:val="center"/>
        <w:rPr>
          <w:rFonts w:ascii="Times New Roman" w:hAnsi="Times New Roman" w:cs="Times New Roman"/>
          <w:sz w:val="24"/>
          <w:szCs w:val="24"/>
          <w:lang w:val="ro-RO"/>
        </w:rPr>
      </w:pPr>
      <w:r w:rsidRPr="00412580">
        <w:rPr>
          <w:rFonts w:ascii="Times New Roman" w:hAnsi="Times New Roman" w:cs="Times New Roman"/>
          <w:sz w:val="24"/>
          <w:szCs w:val="24"/>
          <w:lang w:val="it-IT"/>
        </w:rPr>
        <w:t>Ponderea NPL în total portofoliu credite =</w:t>
      </w:r>
      <w:r w:rsidR="001D7420" w:rsidRPr="00412580">
        <w:rPr>
          <w:rFonts w:ascii="Times New Roman" w:hAnsi="Times New Roman" w:cs="Times New Roman"/>
          <w:position w:val="-24"/>
          <w:sz w:val="24"/>
          <w:szCs w:val="24"/>
          <w:lang w:val="it-IT"/>
        </w:rPr>
        <w:object w:dxaOrig="2200" w:dyaOrig="620">
          <v:shape id="_x0000_i1026" type="#_x0000_t75" style="width:110.2pt;height:31.3pt" o:ole="">
            <v:imagedata r:id="rId16" o:title=""/>
          </v:shape>
          <o:OLEObject Type="Embed" ProgID="Equation.3" ShapeID="_x0000_i1026" DrawAspect="Content" ObjectID="_1601883130" r:id="rId17"/>
        </w:object>
      </w:r>
      <w:r w:rsidRPr="00412580">
        <w:rPr>
          <w:rFonts w:ascii="Times New Roman" w:hAnsi="Times New Roman" w:cs="Times New Roman"/>
          <w:sz w:val="24"/>
          <w:szCs w:val="24"/>
          <w:lang w:val="it-IT"/>
        </w:rPr>
        <w:t>x 100</w:t>
      </w:r>
    </w:p>
    <w:p w:rsidR="00F37754" w:rsidRPr="00A97194" w:rsidRDefault="00F37754" w:rsidP="00F37754">
      <w:pPr>
        <w:spacing w:after="0" w:line="240" w:lineRule="auto"/>
        <w:jc w:val="both"/>
        <w:rPr>
          <w:rFonts w:ascii="Times New Roman" w:hAnsi="Times New Roman" w:cs="Times New Roman"/>
          <w:sz w:val="24"/>
          <w:szCs w:val="24"/>
          <w:lang w:val="it-IT"/>
        </w:rPr>
      </w:pPr>
      <w:r>
        <w:rPr>
          <w:rFonts w:ascii="Times New Roman" w:hAnsi="Times New Roman" w:cs="Times New Roman"/>
          <w:color w:val="FF0000"/>
          <w:sz w:val="24"/>
          <w:szCs w:val="24"/>
          <w:lang w:val="it-IT"/>
        </w:rPr>
        <w:tab/>
      </w:r>
      <w:r w:rsidRPr="00A97194">
        <w:rPr>
          <w:rFonts w:ascii="Times New Roman" w:hAnsi="Times New Roman" w:cs="Times New Roman"/>
          <w:sz w:val="24"/>
          <w:szCs w:val="24"/>
          <w:lang w:val="it-IT"/>
        </w:rPr>
        <w:t>Indicatorul redă calitatea portofoliului de credite din sectorul bancar. O pondere mare sau un trend crescător indică o deterioare a calității portofoliului de credite și prin urmare, un risc crescut de insolvabilitate. În calcularea raportului se folosesc cred</w:t>
      </w:r>
      <w:bookmarkStart w:id="0" w:name="_ftnref4"/>
      <w:r w:rsidRPr="00A97194">
        <w:rPr>
          <w:rFonts w:ascii="Times New Roman" w:hAnsi="Times New Roman" w:cs="Times New Roman"/>
          <w:sz w:val="24"/>
          <w:szCs w:val="24"/>
          <w:lang w:val="it-IT"/>
        </w:rPr>
        <w:t>itele la valoare brută</w:t>
      </w:r>
      <w:bookmarkEnd w:id="0"/>
      <w:r w:rsidR="00A97194" w:rsidRPr="00A97194">
        <w:rPr>
          <w:rFonts w:ascii="Times New Roman" w:hAnsi="Times New Roman" w:cs="Times New Roman"/>
          <w:sz w:val="24"/>
          <w:szCs w:val="24"/>
          <w:lang w:val="it-IT"/>
        </w:rPr>
        <w:t xml:space="preserve"> (contabilă)</w:t>
      </w:r>
      <w:r w:rsidRPr="00A97194">
        <w:rPr>
          <w:rFonts w:ascii="Times New Roman" w:hAnsi="Times New Roman" w:cs="Times New Roman"/>
          <w:sz w:val="24"/>
          <w:szCs w:val="24"/>
          <w:lang w:val="it-IT"/>
        </w:rPr>
        <w:t>.</w:t>
      </w:r>
    </w:p>
    <w:p w:rsidR="00F37754" w:rsidRDefault="00F37754" w:rsidP="00F37754">
      <w:pPr>
        <w:spacing w:after="0" w:line="240" w:lineRule="auto"/>
        <w:jc w:val="both"/>
        <w:rPr>
          <w:rFonts w:ascii="Times New Roman" w:hAnsi="Times New Roman" w:cs="Times New Roman"/>
          <w:sz w:val="24"/>
          <w:szCs w:val="24"/>
          <w:lang w:val="pt-PT"/>
        </w:rPr>
      </w:pPr>
      <w:r>
        <w:rPr>
          <w:rFonts w:ascii="Times New Roman" w:hAnsi="Times New Roman" w:cs="Times New Roman"/>
          <w:color w:val="FF0000"/>
          <w:sz w:val="24"/>
          <w:szCs w:val="24"/>
          <w:lang w:val="it-IT"/>
        </w:rPr>
        <w:tab/>
      </w:r>
      <w:r w:rsidR="00005B31">
        <w:rPr>
          <w:rFonts w:ascii="Times New Roman" w:hAnsi="Times New Roman" w:cs="Times New Roman"/>
          <w:sz w:val="24"/>
          <w:szCs w:val="24"/>
          <w:lang w:val="pt-PT"/>
        </w:rPr>
        <w:t>În prezent,</w:t>
      </w:r>
      <w:r>
        <w:rPr>
          <w:rFonts w:ascii="Times New Roman" w:hAnsi="Times New Roman" w:cs="Times New Roman"/>
          <w:sz w:val="24"/>
          <w:szCs w:val="24"/>
          <w:lang w:val="pt-PT"/>
        </w:rPr>
        <w:t xml:space="preserve"> c</w:t>
      </w:r>
      <w:r w:rsidRPr="00D5025A">
        <w:rPr>
          <w:rFonts w:ascii="Times New Roman" w:hAnsi="Times New Roman" w:cs="Times New Roman"/>
          <w:sz w:val="24"/>
          <w:szCs w:val="24"/>
          <w:lang w:val="pt-PT"/>
        </w:rPr>
        <w:t xml:space="preserve">ei mai cunoscuți indicatori privind </w:t>
      </w:r>
      <w:r w:rsidRPr="000B7E2C">
        <w:rPr>
          <w:rFonts w:ascii="Times New Roman" w:hAnsi="Times New Roman" w:cs="Times New Roman"/>
          <w:sz w:val="24"/>
          <w:szCs w:val="24"/>
          <w:lang w:val="pt-PT"/>
        </w:rPr>
        <w:t>calitatea activelor</w:t>
      </w:r>
      <w:r w:rsidRPr="00293CAF">
        <w:rPr>
          <w:rFonts w:ascii="Times New Roman" w:hAnsi="Times New Roman" w:cs="Times New Roman"/>
          <w:sz w:val="24"/>
          <w:szCs w:val="24"/>
          <w:lang w:val="pt-PT"/>
        </w:rPr>
        <w:t>, cât</w:t>
      </w:r>
      <w:r>
        <w:rPr>
          <w:rFonts w:ascii="Times New Roman" w:hAnsi="Times New Roman" w:cs="Times New Roman"/>
          <w:sz w:val="24"/>
          <w:szCs w:val="24"/>
          <w:lang w:val="pt-PT"/>
        </w:rPr>
        <w:t xml:space="preserve"> și intervalele de prudență </w:t>
      </w:r>
      <w:r w:rsidR="00005B31">
        <w:rPr>
          <w:rFonts w:ascii="Times New Roman" w:hAnsi="Times New Roman" w:cs="Times New Roman"/>
          <w:sz w:val="24"/>
          <w:szCs w:val="24"/>
          <w:lang w:val="pt-PT"/>
        </w:rPr>
        <w:t>sunt stabiliți de EBA</w:t>
      </w:r>
      <w:r w:rsidR="00D85B45">
        <w:rPr>
          <w:rFonts w:ascii="Times New Roman" w:hAnsi="Times New Roman" w:cs="Times New Roman"/>
          <w:sz w:val="24"/>
          <w:szCs w:val="24"/>
          <w:lang w:val="pt-PT"/>
        </w:rPr>
        <w:t xml:space="preserve">, </w:t>
      </w:r>
      <w:r w:rsidR="00005B31">
        <w:rPr>
          <w:rFonts w:ascii="Times New Roman" w:hAnsi="Times New Roman" w:cs="Times New Roman"/>
          <w:sz w:val="24"/>
          <w:szCs w:val="24"/>
          <w:lang w:val="pt-PT"/>
        </w:rPr>
        <w:t>și</w:t>
      </w:r>
      <w:r>
        <w:rPr>
          <w:rFonts w:ascii="Times New Roman" w:hAnsi="Times New Roman" w:cs="Times New Roman"/>
          <w:sz w:val="24"/>
          <w:szCs w:val="24"/>
          <w:lang w:val="pt-PT"/>
        </w:rPr>
        <w:t xml:space="preserve"> sunt</w:t>
      </w:r>
      <w:r w:rsidRPr="00D5025A">
        <w:rPr>
          <w:rFonts w:ascii="Times New Roman" w:hAnsi="Times New Roman" w:cs="Times New Roman"/>
          <w:sz w:val="24"/>
          <w:szCs w:val="24"/>
          <w:lang w:val="pt-PT"/>
        </w:rPr>
        <w:t>:</w:t>
      </w:r>
    </w:p>
    <w:p w:rsidR="00F37754" w:rsidRPr="00005B31" w:rsidRDefault="00005B31" w:rsidP="00F37754">
      <w:pPr>
        <w:spacing w:before="240" w:line="240" w:lineRule="auto"/>
        <w:jc w:val="center"/>
        <w:rPr>
          <w:rFonts w:ascii="Times New Roman" w:hAnsi="Times New Roman" w:cs="Times New Roman"/>
          <w:b/>
          <w:sz w:val="24"/>
          <w:szCs w:val="24"/>
          <w:lang w:val="pt-PT"/>
        </w:rPr>
      </w:pPr>
      <w:r>
        <w:rPr>
          <w:rFonts w:ascii="Times New Roman" w:hAnsi="Times New Roman" w:cs="Times New Roman"/>
          <w:b/>
          <w:sz w:val="24"/>
          <w:szCs w:val="24"/>
          <w:lang w:val="pt-PT"/>
        </w:rPr>
        <w:t>Tabelul nr. 2</w:t>
      </w:r>
      <w:r w:rsidR="00F37754" w:rsidRPr="00005B31">
        <w:rPr>
          <w:rFonts w:ascii="Times New Roman" w:hAnsi="Times New Roman" w:cs="Times New Roman"/>
          <w:b/>
          <w:sz w:val="24"/>
          <w:szCs w:val="24"/>
          <w:lang w:val="pt-PT"/>
        </w:rPr>
        <w:t xml:space="preserve"> Indicatori de analiză ai riscului de credit și intervale de prudență conform EBA</w:t>
      </w:r>
    </w:p>
    <w:tbl>
      <w:tblPr>
        <w:tblStyle w:val="TableGrid"/>
        <w:tblW w:w="9180" w:type="dxa"/>
        <w:tblInd w:w="108" w:type="dxa"/>
        <w:tblLayout w:type="fixed"/>
        <w:tblLook w:val="04A0" w:firstRow="1" w:lastRow="0" w:firstColumn="1" w:lastColumn="0" w:noHBand="0" w:noVBand="1"/>
      </w:tblPr>
      <w:tblGrid>
        <w:gridCol w:w="630"/>
        <w:gridCol w:w="2250"/>
        <w:gridCol w:w="3499"/>
        <w:gridCol w:w="2801"/>
      </w:tblGrid>
      <w:tr w:rsidR="00F37754" w:rsidRPr="00755EF5" w:rsidTr="00BA606C">
        <w:tc>
          <w:tcPr>
            <w:tcW w:w="630" w:type="dxa"/>
            <w:vMerge w:val="restart"/>
            <w:shd w:val="clear" w:color="auto" w:fill="EEECE1" w:themeFill="background2"/>
            <w:textDirection w:val="btLr"/>
          </w:tcPr>
          <w:p w:rsidR="00D85B45" w:rsidRDefault="00F37754" w:rsidP="00D85B45">
            <w:pPr>
              <w:jc w:val="center"/>
              <w:rPr>
                <w:rFonts w:ascii="Times New Roman" w:hAnsi="Times New Roman" w:cs="Times New Roman"/>
                <w:b/>
                <w:sz w:val="20"/>
                <w:szCs w:val="20"/>
                <w:lang w:val="pt-PT"/>
              </w:rPr>
            </w:pPr>
            <w:r w:rsidRPr="00396926">
              <w:rPr>
                <w:rFonts w:ascii="Times New Roman" w:hAnsi="Times New Roman" w:cs="Times New Roman"/>
                <w:b/>
                <w:sz w:val="20"/>
                <w:szCs w:val="20"/>
                <w:lang w:val="pt-PT"/>
              </w:rPr>
              <w:t xml:space="preserve">RISCUL DE CREDIT ȘI CALITATEA </w:t>
            </w:r>
            <w:r w:rsidR="00BA606C" w:rsidRPr="00BA606C">
              <w:rPr>
                <w:rFonts w:ascii="Times New Roman" w:hAnsi="Times New Roman" w:cs="Times New Roman"/>
                <w:b/>
                <w:sz w:val="20"/>
                <w:szCs w:val="20"/>
                <w:lang w:val="pt-PT"/>
              </w:rPr>
              <w:t>ACTIVELOR</w:t>
            </w:r>
          </w:p>
          <w:p w:rsidR="00F37754" w:rsidRPr="00755EF5" w:rsidRDefault="00F37754" w:rsidP="00D85B45">
            <w:pPr>
              <w:jc w:val="center"/>
              <w:rPr>
                <w:rFonts w:ascii="Times New Roman" w:hAnsi="Times New Roman" w:cs="Times New Roman"/>
                <w:b/>
                <w:sz w:val="24"/>
                <w:szCs w:val="24"/>
                <w:lang w:val="pt-PT"/>
              </w:rPr>
            </w:pPr>
          </w:p>
        </w:tc>
        <w:tc>
          <w:tcPr>
            <w:tcW w:w="2250" w:type="dxa"/>
            <w:shd w:val="clear" w:color="auto" w:fill="EEECE1" w:themeFill="background2"/>
            <w:vAlign w:val="center"/>
          </w:tcPr>
          <w:p w:rsidR="00F37754" w:rsidRPr="00396926" w:rsidRDefault="00F37754" w:rsidP="007213FE">
            <w:pPr>
              <w:jc w:val="center"/>
              <w:rPr>
                <w:rFonts w:ascii="Times New Roman" w:hAnsi="Times New Roman" w:cs="Times New Roman"/>
                <w:b/>
                <w:sz w:val="20"/>
                <w:szCs w:val="20"/>
                <w:lang w:val="pt-PT"/>
              </w:rPr>
            </w:pPr>
            <w:r w:rsidRPr="00396926">
              <w:rPr>
                <w:rFonts w:ascii="Times New Roman" w:hAnsi="Times New Roman" w:cs="Times New Roman"/>
                <w:b/>
                <w:sz w:val="20"/>
                <w:szCs w:val="20"/>
                <w:lang w:val="pt-PT"/>
              </w:rPr>
              <w:t>Indicatori de analiză</w:t>
            </w:r>
          </w:p>
          <w:p w:rsidR="00F37754" w:rsidRPr="00396926" w:rsidRDefault="00F37754" w:rsidP="007213FE">
            <w:pPr>
              <w:jc w:val="center"/>
              <w:rPr>
                <w:rFonts w:ascii="Times New Roman" w:hAnsi="Times New Roman" w:cs="Times New Roman"/>
                <w:b/>
                <w:sz w:val="20"/>
                <w:szCs w:val="20"/>
                <w:lang w:val="pt-PT"/>
              </w:rPr>
            </w:pPr>
          </w:p>
        </w:tc>
        <w:tc>
          <w:tcPr>
            <w:tcW w:w="3499" w:type="dxa"/>
            <w:tcBorders>
              <w:right w:val="nil"/>
            </w:tcBorders>
            <w:shd w:val="clear" w:color="auto" w:fill="EEECE1" w:themeFill="background2"/>
            <w:vAlign w:val="center"/>
          </w:tcPr>
          <w:p w:rsidR="00F37754" w:rsidRPr="00396926" w:rsidRDefault="00F37754" w:rsidP="007213FE">
            <w:pPr>
              <w:jc w:val="center"/>
              <w:rPr>
                <w:rFonts w:ascii="Times New Roman" w:hAnsi="Times New Roman" w:cs="Times New Roman"/>
                <w:b/>
                <w:sz w:val="20"/>
                <w:szCs w:val="20"/>
                <w:lang w:val="pt-PT"/>
              </w:rPr>
            </w:pPr>
            <w:r w:rsidRPr="00396926">
              <w:rPr>
                <w:rFonts w:ascii="Times New Roman" w:hAnsi="Times New Roman" w:cs="Times New Roman"/>
                <w:b/>
                <w:sz w:val="20"/>
                <w:szCs w:val="20"/>
                <w:lang w:val="pt-PT"/>
              </w:rPr>
              <w:t>Explicații</w:t>
            </w:r>
          </w:p>
        </w:tc>
        <w:tc>
          <w:tcPr>
            <w:tcW w:w="2801" w:type="dxa"/>
            <w:tcBorders>
              <w:left w:val="nil"/>
            </w:tcBorders>
            <w:shd w:val="clear" w:color="auto" w:fill="EEECE1" w:themeFill="background2"/>
            <w:vAlign w:val="center"/>
          </w:tcPr>
          <w:p w:rsidR="00F37754" w:rsidRPr="00396926" w:rsidRDefault="00F37754" w:rsidP="007213FE">
            <w:pPr>
              <w:jc w:val="center"/>
              <w:rPr>
                <w:rFonts w:ascii="Times New Roman" w:hAnsi="Times New Roman" w:cs="Times New Roman"/>
                <w:b/>
                <w:sz w:val="20"/>
                <w:szCs w:val="20"/>
                <w:lang w:val="pt-PT"/>
              </w:rPr>
            </w:pPr>
            <w:r w:rsidRPr="00396926">
              <w:rPr>
                <w:rFonts w:ascii="Times New Roman" w:hAnsi="Times New Roman" w:cs="Times New Roman"/>
                <w:b/>
                <w:sz w:val="20"/>
                <w:szCs w:val="20"/>
                <w:lang w:val="pt-PT"/>
              </w:rPr>
              <w:t>Intervale de prudență</w:t>
            </w:r>
          </w:p>
        </w:tc>
      </w:tr>
      <w:tr w:rsidR="00F37754" w:rsidRPr="00755EF5" w:rsidTr="00BA606C">
        <w:trPr>
          <w:trHeight w:val="730"/>
        </w:trPr>
        <w:tc>
          <w:tcPr>
            <w:tcW w:w="630" w:type="dxa"/>
            <w:vMerge/>
            <w:shd w:val="clear" w:color="auto" w:fill="EEECE1" w:themeFill="background2"/>
            <w:textDirection w:val="btLr"/>
          </w:tcPr>
          <w:p w:rsidR="00F37754" w:rsidRPr="00755EF5" w:rsidRDefault="00F37754" w:rsidP="007213FE">
            <w:pPr>
              <w:spacing w:before="240"/>
              <w:ind w:left="113" w:right="113"/>
              <w:jc w:val="center"/>
              <w:rPr>
                <w:rFonts w:ascii="Times New Roman" w:hAnsi="Times New Roman" w:cs="Times New Roman"/>
                <w:b/>
                <w:sz w:val="24"/>
                <w:szCs w:val="24"/>
                <w:lang w:val="pt-PT"/>
              </w:rPr>
            </w:pPr>
          </w:p>
        </w:tc>
        <w:tc>
          <w:tcPr>
            <w:tcW w:w="2250" w:type="dxa"/>
            <w:vAlign w:val="center"/>
          </w:tcPr>
          <w:p w:rsidR="00F37754" w:rsidRPr="00396926" w:rsidRDefault="00F37754" w:rsidP="007213FE">
            <w:pPr>
              <w:jc w:val="center"/>
              <w:rPr>
                <w:rFonts w:ascii="Times New Roman" w:hAnsi="Times New Roman" w:cs="Times New Roman"/>
                <w:b/>
                <w:sz w:val="20"/>
                <w:szCs w:val="20"/>
                <w:lang w:val="pt-PT"/>
              </w:rPr>
            </w:pPr>
            <w:r w:rsidRPr="00396926">
              <w:rPr>
                <w:rFonts w:ascii="Times New Roman" w:hAnsi="Times New Roman" w:cs="Times New Roman"/>
                <w:b/>
                <w:sz w:val="20"/>
                <w:szCs w:val="20"/>
                <w:lang w:val="pt-PT"/>
              </w:rPr>
              <w:t>Rata creditelor si avansurilor neperformante</w:t>
            </w:r>
          </w:p>
        </w:tc>
        <w:tc>
          <w:tcPr>
            <w:tcW w:w="3499" w:type="dxa"/>
            <w:tcBorders>
              <w:right w:val="nil"/>
            </w:tcBorders>
            <w:vAlign w:val="center"/>
          </w:tcPr>
          <w:p w:rsidR="00F37754" w:rsidRPr="00396926" w:rsidRDefault="00F37754" w:rsidP="007213FE">
            <w:pPr>
              <w:pStyle w:val="BodyText"/>
              <w:spacing w:after="0"/>
              <w:jc w:val="center"/>
              <w:rPr>
                <w:sz w:val="20"/>
                <w:szCs w:val="20"/>
              </w:rPr>
            </w:pPr>
            <w:r w:rsidRPr="00396926">
              <w:rPr>
                <w:sz w:val="20"/>
                <w:szCs w:val="20"/>
              </w:rPr>
              <w:t>Expuneri neperformante din credite și avansuri /Expuneri  totale din credite și avansuri</w:t>
            </w:r>
          </w:p>
        </w:tc>
        <w:tc>
          <w:tcPr>
            <w:tcW w:w="2801" w:type="dxa"/>
            <w:tcBorders>
              <w:left w:val="nil"/>
            </w:tcBorders>
            <w:vAlign w:val="center"/>
          </w:tcPr>
          <w:tbl>
            <w:tblPr>
              <w:tblW w:w="2893" w:type="dxa"/>
              <w:tblLayout w:type="fixed"/>
              <w:tblLook w:val="04A0" w:firstRow="1" w:lastRow="0" w:firstColumn="1" w:lastColumn="0" w:noHBand="0" w:noVBand="1"/>
            </w:tblPr>
            <w:tblGrid>
              <w:gridCol w:w="2893"/>
            </w:tblGrid>
            <w:tr w:rsidR="00F37754" w:rsidRPr="00396926" w:rsidTr="00AC5958">
              <w:trPr>
                <w:trHeight w:val="226"/>
              </w:trPr>
              <w:tc>
                <w:tcPr>
                  <w:tcW w:w="2893"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F37754" w:rsidRPr="00396926" w:rsidRDefault="00F37754" w:rsidP="00005B31">
                  <w:pPr>
                    <w:spacing w:after="0" w:line="240" w:lineRule="auto"/>
                    <w:jc w:val="center"/>
                    <w:rPr>
                      <w:rFonts w:ascii="Times New Roman" w:eastAsia="Times New Roman" w:hAnsi="Times New Roman" w:cs="Times New Roman"/>
                      <w:b/>
                      <w:color w:val="000000"/>
                      <w:sz w:val="20"/>
                      <w:szCs w:val="20"/>
                      <w:lang w:val="ro-RO" w:eastAsia="ro-RO"/>
                    </w:rPr>
                  </w:pPr>
                  <w:r w:rsidRPr="00396926">
                    <w:rPr>
                      <w:rFonts w:ascii="Times New Roman" w:eastAsia="Times New Roman" w:hAnsi="Times New Roman" w:cs="Times New Roman"/>
                      <w:b/>
                      <w:color w:val="000000"/>
                      <w:sz w:val="20"/>
                      <w:szCs w:val="20"/>
                      <w:lang w:val="ro-RO" w:eastAsia="ro-RO"/>
                    </w:rPr>
                    <w:t>&lt;3%</w:t>
                  </w:r>
                </w:p>
              </w:tc>
            </w:tr>
            <w:tr w:rsidR="00F37754" w:rsidRPr="00396926" w:rsidTr="00AC5958">
              <w:trPr>
                <w:trHeight w:val="199"/>
              </w:trPr>
              <w:tc>
                <w:tcPr>
                  <w:tcW w:w="2893" w:type="dxa"/>
                  <w:tcBorders>
                    <w:top w:val="nil"/>
                    <w:left w:val="single" w:sz="4" w:space="0" w:color="auto"/>
                    <w:bottom w:val="single" w:sz="4" w:space="0" w:color="auto"/>
                    <w:right w:val="single" w:sz="4" w:space="0" w:color="auto"/>
                  </w:tcBorders>
                  <w:shd w:val="clear" w:color="auto" w:fill="FFFF00"/>
                  <w:noWrap/>
                  <w:vAlign w:val="bottom"/>
                  <w:hideMark/>
                </w:tcPr>
                <w:p w:rsidR="00F37754" w:rsidRPr="00396926" w:rsidRDefault="00F37754" w:rsidP="00005B31">
                  <w:pPr>
                    <w:spacing w:after="0" w:line="240" w:lineRule="auto"/>
                    <w:jc w:val="center"/>
                    <w:rPr>
                      <w:rFonts w:ascii="Times New Roman" w:eastAsia="Times New Roman" w:hAnsi="Times New Roman" w:cs="Times New Roman"/>
                      <w:b/>
                      <w:color w:val="000000"/>
                      <w:sz w:val="20"/>
                      <w:szCs w:val="20"/>
                      <w:lang w:val="ro-RO" w:eastAsia="ro-RO"/>
                    </w:rPr>
                  </w:pPr>
                  <w:r w:rsidRPr="00396926">
                    <w:rPr>
                      <w:rFonts w:ascii="Times New Roman" w:eastAsia="Times New Roman" w:hAnsi="Times New Roman" w:cs="Times New Roman"/>
                      <w:b/>
                      <w:color w:val="000000"/>
                      <w:sz w:val="20"/>
                      <w:szCs w:val="20"/>
                      <w:lang w:val="ro-RO" w:eastAsia="ro-RO"/>
                    </w:rPr>
                    <w:t>[3%-8%]</w:t>
                  </w:r>
                </w:p>
              </w:tc>
            </w:tr>
            <w:tr w:rsidR="00F37754" w:rsidRPr="00396926" w:rsidTr="00AC5958">
              <w:trPr>
                <w:trHeight w:val="127"/>
              </w:trPr>
              <w:tc>
                <w:tcPr>
                  <w:tcW w:w="2893" w:type="dxa"/>
                  <w:tcBorders>
                    <w:top w:val="nil"/>
                    <w:left w:val="single" w:sz="4" w:space="0" w:color="auto"/>
                    <w:bottom w:val="single" w:sz="4" w:space="0" w:color="auto"/>
                    <w:right w:val="single" w:sz="4" w:space="0" w:color="auto"/>
                  </w:tcBorders>
                  <w:shd w:val="clear" w:color="auto" w:fill="FF0000"/>
                  <w:noWrap/>
                  <w:vAlign w:val="bottom"/>
                  <w:hideMark/>
                </w:tcPr>
                <w:p w:rsidR="00F37754" w:rsidRPr="00396926" w:rsidRDefault="00F37754" w:rsidP="00005B31">
                  <w:pPr>
                    <w:spacing w:after="0" w:line="240" w:lineRule="auto"/>
                    <w:jc w:val="center"/>
                    <w:rPr>
                      <w:rFonts w:ascii="Times New Roman" w:eastAsia="Times New Roman" w:hAnsi="Times New Roman" w:cs="Times New Roman"/>
                      <w:b/>
                      <w:color w:val="000000"/>
                      <w:sz w:val="20"/>
                      <w:szCs w:val="20"/>
                      <w:lang w:val="ro-RO" w:eastAsia="ro-RO"/>
                    </w:rPr>
                  </w:pPr>
                  <w:r w:rsidRPr="00396926">
                    <w:rPr>
                      <w:rFonts w:ascii="Times New Roman" w:eastAsia="Times New Roman" w:hAnsi="Times New Roman" w:cs="Times New Roman"/>
                      <w:b/>
                      <w:color w:val="000000"/>
                      <w:sz w:val="20"/>
                      <w:szCs w:val="20"/>
                      <w:lang w:val="ro-RO" w:eastAsia="ro-RO"/>
                    </w:rPr>
                    <w:t>&gt;8%</w:t>
                  </w:r>
                </w:p>
              </w:tc>
            </w:tr>
          </w:tbl>
          <w:p w:rsidR="00F37754" w:rsidRPr="00396926" w:rsidRDefault="00F37754" w:rsidP="00005B31">
            <w:pPr>
              <w:pStyle w:val="BodyText"/>
              <w:spacing w:after="0"/>
              <w:jc w:val="center"/>
              <w:rPr>
                <w:b/>
                <w:sz w:val="20"/>
                <w:szCs w:val="20"/>
              </w:rPr>
            </w:pPr>
          </w:p>
        </w:tc>
      </w:tr>
      <w:tr w:rsidR="00F37754" w:rsidRPr="00755EF5" w:rsidTr="00BA606C">
        <w:trPr>
          <w:trHeight w:val="712"/>
        </w:trPr>
        <w:tc>
          <w:tcPr>
            <w:tcW w:w="630" w:type="dxa"/>
            <w:vMerge/>
            <w:shd w:val="clear" w:color="auto" w:fill="EEECE1" w:themeFill="background2"/>
          </w:tcPr>
          <w:p w:rsidR="00F37754" w:rsidRPr="00755EF5" w:rsidRDefault="00F37754" w:rsidP="007213FE">
            <w:pPr>
              <w:spacing w:before="240"/>
              <w:jc w:val="center"/>
              <w:rPr>
                <w:rFonts w:ascii="Times New Roman" w:hAnsi="Times New Roman" w:cs="Times New Roman"/>
                <w:b/>
                <w:sz w:val="24"/>
                <w:szCs w:val="24"/>
                <w:lang w:val="pt-PT"/>
              </w:rPr>
            </w:pPr>
          </w:p>
        </w:tc>
        <w:tc>
          <w:tcPr>
            <w:tcW w:w="2250" w:type="dxa"/>
            <w:vAlign w:val="center"/>
          </w:tcPr>
          <w:p w:rsidR="00F37754" w:rsidRPr="00396926" w:rsidRDefault="00F37754" w:rsidP="007213FE">
            <w:pPr>
              <w:jc w:val="center"/>
              <w:rPr>
                <w:rFonts w:ascii="Times New Roman" w:hAnsi="Times New Roman" w:cs="Times New Roman"/>
                <w:b/>
                <w:sz w:val="20"/>
                <w:szCs w:val="20"/>
                <w:lang w:val="pt-PT"/>
              </w:rPr>
            </w:pPr>
            <w:r w:rsidRPr="00396926">
              <w:rPr>
                <w:rFonts w:ascii="Times New Roman" w:hAnsi="Times New Roman" w:cs="Times New Roman"/>
                <w:b/>
                <w:sz w:val="20"/>
                <w:szCs w:val="20"/>
                <w:lang w:val="pt-PT"/>
              </w:rPr>
              <w:t>Gradul de acoperire cu provizioane a creditelor neperformante</w:t>
            </w:r>
          </w:p>
        </w:tc>
        <w:tc>
          <w:tcPr>
            <w:tcW w:w="3499" w:type="dxa"/>
            <w:tcBorders>
              <w:right w:val="nil"/>
            </w:tcBorders>
            <w:vAlign w:val="center"/>
          </w:tcPr>
          <w:p w:rsidR="00F37754" w:rsidRPr="00396926" w:rsidRDefault="00F37754" w:rsidP="007213FE">
            <w:pPr>
              <w:pStyle w:val="BodyText"/>
              <w:spacing w:after="0"/>
              <w:jc w:val="center"/>
              <w:rPr>
                <w:sz w:val="20"/>
                <w:szCs w:val="20"/>
              </w:rPr>
            </w:pPr>
            <w:r w:rsidRPr="00396926">
              <w:rPr>
                <w:sz w:val="20"/>
                <w:szCs w:val="20"/>
              </w:rPr>
              <w:t>Ajustări pentru depreciere aferente creditelor neperformante/ Expuneri neperformante din credite și avansuri</w:t>
            </w:r>
          </w:p>
        </w:tc>
        <w:tc>
          <w:tcPr>
            <w:tcW w:w="2801" w:type="dxa"/>
            <w:tcBorders>
              <w:left w:val="nil"/>
            </w:tcBorders>
            <w:vAlign w:val="center"/>
          </w:tcPr>
          <w:tbl>
            <w:tblPr>
              <w:tblW w:w="2780" w:type="dxa"/>
              <w:tblLayout w:type="fixed"/>
              <w:tblLook w:val="04A0" w:firstRow="1" w:lastRow="0" w:firstColumn="1" w:lastColumn="0" w:noHBand="0" w:noVBand="1"/>
            </w:tblPr>
            <w:tblGrid>
              <w:gridCol w:w="2780"/>
            </w:tblGrid>
            <w:tr w:rsidR="00F37754" w:rsidRPr="00396926" w:rsidTr="00D85B45">
              <w:trPr>
                <w:trHeight w:val="118"/>
              </w:trPr>
              <w:tc>
                <w:tcPr>
                  <w:tcW w:w="278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F37754" w:rsidRPr="00396926" w:rsidRDefault="00F37754" w:rsidP="00005B31">
                  <w:pPr>
                    <w:spacing w:after="0" w:line="240" w:lineRule="auto"/>
                    <w:jc w:val="center"/>
                    <w:rPr>
                      <w:rFonts w:ascii="Times New Roman" w:eastAsia="Times New Roman" w:hAnsi="Times New Roman" w:cs="Times New Roman"/>
                      <w:b/>
                      <w:color w:val="000000"/>
                      <w:sz w:val="20"/>
                      <w:szCs w:val="20"/>
                      <w:lang w:val="ro-RO" w:eastAsia="ro-RO"/>
                    </w:rPr>
                  </w:pPr>
                  <w:r w:rsidRPr="00396926">
                    <w:rPr>
                      <w:rFonts w:ascii="Times New Roman" w:eastAsia="Times New Roman" w:hAnsi="Times New Roman" w:cs="Times New Roman"/>
                      <w:b/>
                      <w:color w:val="000000"/>
                      <w:sz w:val="20"/>
                      <w:szCs w:val="20"/>
                      <w:lang w:val="ro-RO" w:eastAsia="ro-RO"/>
                    </w:rPr>
                    <w:t>&gt;55%</w:t>
                  </w:r>
                </w:p>
              </w:tc>
            </w:tr>
            <w:tr w:rsidR="00F37754" w:rsidRPr="00396926" w:rsidTr="00D85B45">
              <w:trPr>
                <w:trHeight w:val="199"/>
              </w:trPr>
              <w:tc>
                <w:tcPr>
                  <w:tcW w:w="278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F37754" w:rsidRPr="00396926" w:rsidRDefault="00F37754" w:rsidP="00005B31">
                  <w:pPr>
                    <w:spacing w:after="0" w:line="240" w:lineRule="auto"/>
                    <w:jc w:val="center"/>
                    <w:rPr>
                      <w:rFonts w:ascii="Times New Roman" w:eastAsia="Times New Roman" w:hAnsi="Times New Roman" w:cs="Times New Roman"/>
                      <w:b/>
                      <w:color w:val="000000"/>
                      <w:sz w:val="20"/>
                      <w:szCs w:val="20"/>
                      <w:lang w:val="ro-RO" w:eastAsia="ro-RO"/>
                    </w:rPr>
                  </w:pPr>
                  <w:r w:rsidRPr="00396926">
                    <w:rPr>
                      <w:rFonts w:ascii="Times New Roman" w:eastAsia="Times New Roman" w:hAnsi="Times New Roman" w:cs="Times New Roman"/>
                      <w:b/>
                      <w:color w:val="000000"/>
                      <w:sz w:val="20"/>
                      <w:szCs w:val="20"/>
                      <w:lang w:val="ro-RO" w:eastAsia="ro-RO"/>
                    </w:rPr>
                    <w:t>[40%-55%]</w:t>
                  </w:r>
                </w:p>
              </w:tc>
            </w:tr>
            <w:tr w:rsidR="00F37754" w:rsidRPr="00396926" w:rsidTr="00D85B45">
              <w:trPr>
                <w:trHeight w:val="235"/>
              </w:trPr>
              <w:tc>
                <w:tcPr>
                  <w:tcW w:w="27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37754" w:rsidRPr="00396926" w:rsidRDefault="00F37754" w:rsidP="00005B31">
                  <w:pPr>
                    <w:spacing w:after="0" w:line="240" w:lineRule="auto"/>
                    <w:jc w:val="center"/>
                    <w:rPr>
                      <w:rFonts w:ascii="Times New Roman" w:eastAsia="Times New Roman" w:hAnsi="Times New Roman" w:cs="Times New Roman"/>
                      <w:b/>
                      <w:color w:val="000000"/>
                      <w:sz w:val="20"/>
                      <w:szCs w:val="20"/>
                      <w:lang w:val="ro-RO" w:eastAsia="ro-RO"/>
                    </w:rPr>
                  </w:pPr>
                  <w:r w:rsidRPr="00396926">
                    <w:rPr>
                      <w:rFonts w:ascii="Times New Roman" w:eastAsia="Times New Roman" w:hAnsi="Times New Roman" w:cs="Times New Roman"/>
                      <w:b/>
                      <w:color w:val="000000"/>
                      <w:sz w:val="20"/>
                      <w:szCs w:val="20"/>
                      <w:lang w:val="ro-RO" w:eastAsia="ro-RO"/>
                    </w:rPr>
                    <w:t>&lt;40%</w:t>
                  </w:r>
                </w:p>
              </w:tc>
            </w:tr>
          </w:tbl>
          <w:p w:rsidR="00F37754" w:rsidRPr="00396926" w:rsidRDefault="00F37754" w:rsidP="00005B31">
            <w:pPr>
              <w:pStyle w:val="BodyText"/>
              <w:spacing w:after="0"/>
              <w:jc w:val="center"/>
              <w:rPr>
                <w:b/>
                <w:sz w:val="20"/>
                <w:szCs w:val="20"/>
              </w:rPr>
            </w:pPr>
          </w:p>
        </w:tc>
      </w:tr>
      <w:tr w:rsidR="00F37754" w:rsidRPr="00755EF5" w:rsidTr="00BA606C">
        <w:trPr>
          <w:trHeight w:val="685"/>
        </w:trPr>
        <w:tc>
          <w:tcPr>
            <w:tcW w:w="630" w:type="dxa"/>
            <w:vMerge/>
            <w:shd w:val="clear" w:color="auto" w:fill="EEECE1" w:themeFill="background2"/>
          </w:tcPr>
          <w:p w:rsidR="00F37754" w:rsidRPr="00755EF5" w:rsidRDefault="00F37754" w:rsidP="007213FE">
            <w:pPr>
              <w:spacing w:before="240"/>
              <w:jc w:val="center"/>
              <w:rPr>
                <w:rFonts w:ascii="Times New Roman" w:hAnsi="Times New Roman" w:cs="Times New Roman"/>
                <w:b/>
                <w:sz w:val="24"/>
                <w:szCs w:val="24"/>
                <w:lang w:val="pt-PT"/>
              </w:rPr>
            </w:pPr>
          </w:p>
        </w:tc>
        <w:tc>
          <w:tcPr>
            <w:tcW w:w="2250" w:type="dxa"/>
            <w:vAlign w:val="center"/>
          </w:tcPr>
          <w:p w:rsidR="00F37754" w:rsidRPr="00396926" w:rsidRDefault="00F37754" w:rsidP="007213FE">
            <w:pPr>
              <w:jc w:val="center"/>
              <w:rPr>
                <w:rFonts w:ascii="Times New Roman" w:hAnsi="Times New Roman" w:cs="Times New Roman"/>
                <w:b/>
                <w:sz w:val="20"/>
                <w:szCs w:val="20"/>
                <w:lang w:val="pt-PT"/>
              </w:rPr>
            </w:pPr>
            <w:r w:rsidRPr="00396926">
              <w:rPr>
                <w:rFonts w:ascii="Times New Roman" w:hAnsi="Times New Roman" w:cs="Times New Roman"/>
                <w:b/>
                <w:sz w:val="20"/>
                <w:szCs w:val="20"/>
                <w:lang w:val="pt-PT"/>
              </w:rPr>
              <w:t>Rata creditelor si avansurilor cu masuri de restructurare</w:t>
            </w:r>
          </w:p>
        </w:tc>
        <w:tc>
          <w:tcPr>
            <w:tcW w:w="3499" w:type="dxa"/>
            <w:tcBorders>
              <w:right w:val="nil"/>
            </w:tcBorders>
            <w:vAlign w:val="center"/>
          </w:tcPr>
          <w:p w:rsidR="00F37754" w:rsidRPr="00396926" w:rsidRDefault="00F37754" w:rsidP="007213FE">
            <w:pPr>
              <w:pStyle w:val="BodyText"/>
              <w:spacing w:after="0"/>
              <w:jc w:val="center"/>
              <w:rPr>
                <w:sz w:val="20"/>
                <w:szCs w:val="20"/>
              </w:rPr>
            </w:pPr>
            <w:r w:rsidRPr="00396926">
              <w:rPr>
                <w:sz w:val="20"/>
                <w:szCs w:val="20"/>
              </w:rPr>
              <w:t>Expuneri din credite și avansuri cu măsuri de restructurare / Expuneri totale din credite și avansuri</w:t>
            </w:r>
          </w:p>
        </w:tc>
        <w:tc>
          <w:tcPr>
            <w:tcW w:w="2801" w:type="dxa"/>
            <w:tcBorders>
              <w:left w:val="nil"/>
            </w:tcBorders>
            <w:vAlign w:val="center"/>
          </w:tcPr>
          <w:tbl>
            <w:tblPr>
              <w:tblW w:w="2780" w:type="dxa"/>
              <w:tblLayout w:type="fixed"/>
              <w:tblLook w:val="04A0" w:firstRow="1" w:lastRow="0" w:firstColumn="1" w:lastColumn="0" w:noHBand="0" w:noVBand="1"/>
            </w:tblPr>
            <w:tblGrid>
              <w:gridCol w:w="2780"/>
            </w:tblGrid>
            <w:tr w:rsidR="00F37754" w:rsidRPr="00396926" w:rsidTr="00D85B45">
              <w:trPr>
                <w:trHeight w:val="235"/>
              </w:trPr>
              <w:tc>
                <w:tcPr>
                  <w:tcW w:w="2780" w:type="dxa"/>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bottom"/>
                  <w:hideMark/>
                </w:tcPr>
                <w:p w:rsidR="00F37754" w:rsidRPr="00396926" w:rsidRDefault="00F37754" w:rsidP="00005B31">
                  <w:pPr>
                    <w:spacing w:after="0" w:line="240" w:lineRule="auto"/>
                    <w:jc w:val="center"/>
                    <w:rPr>
                      <w:rFonts w:ascii="Times New Roman" w:eastAsia="Times New Roman" w:hAnsi="Times New Roman" w:cs="Times New Roman"/>
                      <w:b/>
                      <w:color w:val="000000"/>
                      <w:sz w:val="20"/>
                      <w:szCs w:val="20"/>
                      <w:lang w:val="ro-RO" w:eastAsia="ro-RO"/>
                    </w:rPr>
                  </w:pPr>
                  <w:r w:rsidRPr="00396926">
                    <w:rPr>
                      <w:rFonts w:ascii="Times New Roman" w:eastAsia="Times New Roman" w:hAnsi="Times New Roman" w:cs="Times New Roman"/>
                      <w:b/>
                      <w:color w:val="000000"/>
                      <w:sz w:val="20"/>
                      <w:szCs w:val="20"/>
                      <w:lang w:val="ro-RO" w:eastAsia="ro-RO"/>
                    </w:rPr>
                    <w:t>&lt;1.5%</w:t>
                  </w:r>
                </w:p>
              </w:tc>
            </w:tr>
            <w:tr w:rsidR="00F37754" w:rsidRPr="00396926" w:rsidTr="00D85B45">
              <w:trPr>
                <w:trHeight w:val="253"/>
              </w:trPr>
              <w:tc>
                <w:tcPr>
                  <w:tcW w:w="2780"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F37754" w:rsidRPr="00396926" w:rsidRDefault="00F37754" w:rsidP="00005B31">
                  <w:pPr>
                    <w:spacing w:after="0" w:line="240" w:lineRule="auto"/>
                    <w:jc w:val="center"/>
                    <w:rPr>
                      <w:rFonts w:ascii="Times New Roman" w:eastAsia="Times New Roman" w:hAnsi="Times New Roman" w:cs="Times New Roman"/>
                      <w:b/>
                      <w:color w:val="000000"/>
                      <w:sz w:val="20"/>
                      <w:szCs w:val="20"/>
                      <w:lang w:val="ro-RO" w:eastAsia="ro-RO"/>
                    </w:rPr>
                  </w:pPr>
                  <w:r w:rsidRPr="00396926">
                    <w:rPr>
                      <w:rFonts w:ascii="Times New Roman" w:eastAsia="Times New Roman" w:hAnsi="Times New Roman" w:cs="Times New Roman"/>
                      <w:b/>
                      <w:color w:val="000000"/>
                      <w:sz w:val="20"/>
                      <w:szCs w:val="20"/>
                      <w:lang w:val="ro-RO" w:eastAsia="ro-RO"/>
                    </w:rPr>
                    <w:t>[1.5%-4%]</w:t>
                  </w:r>
                </w:p>
              </w:tc>
            </w:tr>
            <w:tr w:rsidR="00F37754" w:rsidRPr="00396926" w:rsidTr="00D85B45">
              <w:trPr>
                <w:trHeight w:val="262"/>
              </w:trPr>
              <w:tc>
                <w:tcPr>
                  <w:tcW w:w="2780" w:type="dxa"/>
                  <w:tcBorders>
                    <w:top w:val="nil"/>
                    <w:left w:val="single" w:sz="4" w:space="0" w:color="auto"/>
                    <w:bottom w:val="single" w:sz="4" w:space="0" w:color="auto"/>
                    <w:right w:val="single" w:sz="4" w:space="0" w:color="auto"/>
                  </w:tcBorders>
                  <w:shd w:val="clear" w:color="auto" w:fill="FABF8F" w:themeFill="accent6" w:themeFillTint="99"/>
                  <w:noWrap/>
                  <w:vAlign w:val="bottom"/>
                  <w:hideMark/>
                </w:tcPr>
                <w:p w:rsidR="00F37754" w:rsidRPr="00396926" w:rsidRDefault="00F37754" w:rsidP="00005B31">
                  <w:pPr>
                    <w:spacing w:after="0" w:line="240" w:lineRule="auto"/>
                    <w:jc w:val="center"/>
                    <w:rPr>
                      <w:rFonts w:ascii="Times New Roman" w:eastAsia="Times New Roman" w:hAnsi="Times New Roman" w:cs="Times New Roman"/>
                      <w:b/>
                      <w:color w:val="000000"/>
                      <w:sz w:val="20"/>
                      <w:szCs w:val="20"/>
                      <w:lang w:val="ro-RO" w:eastAsia="ro-RO"/>
                    </w:rPr>
                  </w:pPr>
                  <w:r w:rsidRPr="00396926">
                    <w:rPr>
                      <w:rFonts w:ascii="Times New Roman" w:eastAsia="Times New Roman" w:hAnsi="Times New Roman" w:cs="Times New Roman"/>
                      <w:b/>
                      <w:color w:val="000000"/>
                      <w:sz w:val="20"/>
                      <w:szCs w:val="20"/>
                      <w:lang w:val="ro-RO" w:eastAsia="ro-RO"/>
                    </w:rPr>
                    <w:t>&gt;4%</w:t>
                  </w:r>
                </w:p>
              </w:tc>
            </w:tr>
          </w:tbl>
          <w:p w:rsidR="00F37754" w:rsidRPr="00396926" w:rsidRDefault="00F37754" w:rsidP="00005B31">
            <w:pPr>
              <w:pStyle w:val="BodyText"/>
              <w:spacing w:after="0"/>
              <w:jc w:val="center"/>
              <w:rPr>
                <w:b/>
                <w:sz w:val="20"/>
                <w:szCs w:val="20"/>
              </w:rPr>
            </w:pPr>
          </w:p>
        </w:tc>
      </w:tr>
    </w:tbl>
    <w:p w:rsidR="00F37754" w:rsidRDefault="00F37754" w:rsidP="00F37754">
      <w:pPr>
        <w:spacing w:after="0" w:line="240" w:lineRule="auto"/>
        <w:jc w:val="both"/>
        <w:rPr>
          <w:rFonts w:ascii="Times New Roman" w:hAnsi="Times New Roman" w:cs="Times New Roman"/>
          <w:sz w:val="20"/>
          <w:szCs w:val="20"/>
        </w:rPr>
      </w:pPr>
      <w:r w:rsidRPr="00396926">
        <w:rPr>
          <w:rFonts w:ascii="Times New Roman" w:hAnsi="Times New Roman" w:cs="Times New Roman"/>
          <w:b/>
          <w:sz w:val="20"/>
          <w:szCs w:val="20"/>
        </w:rPr>
        <w:t xml:space="preserve">Sursa: </w:t>
      </w:r>
      <w:r w:rsidRPr="00396926">
        <w:rPr>
          <w:rFonts w:ascii="Times New Roman" w:hAnsi="Times New Roman" w:cs="Times New Roman"/>
          <w:sz w:val="20"/>
          <w:szCs w:val="20"/>
        </w:rPr>
        <w:t xml:space="preserve">European Banking Authority, </w:t>
      </w:r>
      <w:r w:rsidRPr="00396926">
        <w:rPr>
          <w:rFonts w:ascii="Times New Roman" w:hAnsi="Times New Roman" w:cs="Times New Roman"/>
          <w:i/>
          <w:sz w:val="20"/>
          <w:szCs w:val="20"/>
        </w:rPr>
        <w:t xml:space="preserve">Risk Dashboard Q4, </w:t>
      </w:r>
      <w:r w:rsidRPr="00396926">
        <w:rPr>
          <w:rFonts w:ascii="Times New Roman" w:hAnsi="Times New Roman" w:cs="Times New Roman"/>
          <w:sz w:val="20"/>
          <w:szCs w:val="20"/>
        </w:rPr>
        <w:t>2017</w:t>
      </w:r>
    </w:p>
    <w:p w:rsidR="00C03E44" w:rsidRPr="00AC5958" w:rsidRDefault="00C03E44" w:rsidP="00C03E44">
      <w:pPr>
        <w:spacing w:after="0" w:line="240" w:lineRule="auto"/>
        <w:jc w:val="both"/>
        <w:rPr>
          <w:rFonts w:ascii="Times New Roman" w:hAnsi="Times New Roman" w:cs="Times New Roman"/>
          <w:sz w:val="24"/>
          <w:szCs w:val="24"/>
        </w:rPr>
      </w:pPr>
      <w:r>
        <w:rPr>
          <w:rFonts w:ascii="Times New Roman" w:hAnsi="Times New Roman" w:cs="Times New Roman"/>
          <w:sz w:val="20"/>
          <w:szCs w:val="20"/>
        </w:rPr>
        <w:tab/>
      </w:r>
      <w:r w:rsidRPr="00AC5958">
        <w:rPr>
          <w:rFonts w:ascii="Times New Roman" w:hAnsi="Times New Roman" w:cs="Times New Roman"/>
          <w:sz w:val="24"/>
          <w:szCs w:val="24"/>
        </w:rPr>
        <w:t>Conform ABE, un nivel al creditelor neperformante de peste 8% din total credite se încadrează în banda roșie; un nivel al creditelor neperformante de 3</w:t>
      </w:r>
      <w:r w:rsidRPr="00AC5958">
        <w:rPr>
          <w:rFonts w:ascii="Times New Roman" w:hAnsi="Times New Roman" w:cs="Times New Roman"/>
          <w:b/>
          <w:sz w:val="24"/>
          <w:szCs w:val="24"/>
        </w:rPr>
        <w:t>-</w:t>
      </w:r>
      <w:r w:rsidRPr="00AC5958">
        <w:rPr>
          <w:rFonts w:ascii="Times New Roman" w:hAnsi="Times New Roman" w:cs="Times New Roman"/>
          <w:sz w:val="24"/>
          <w:szCs w:val="24"/>
        </w:rPr>
        <w:t>8% se încadrează în banda galbenă; un nivel al creditelor neperformante de mai puțin de 3% din totalul creditelor se încadrează în banda verde.</w:t>
      </w:r>
    </w:p>
    <w:p w:rsidR="00F37754" w:rsidRPr="000B7E2C" w:rsidRDefault="00F37754" w:rsidP="00F37754">
      <w:pPr>
        <w:spacing w:after="0" w:line="240" w:lineRule="auto"/>
        <w:jc w:val="both"/>
        <w:rPr>
          <w:rFonts w:ascii="Times New Roman" w:hAnsi="Times New Roman" w:cs="Times New Roman"/>
        </w:rPr>
      </w:pPr>
      <w:r>
        <w:rPr>
          <w:rFonts w:ascii="Times New Roman" w:hAnsi="Times New Roman" w:cs="Times New Roman"/>
          <w:color w:val="FF0000"/>
          <w:sz w:val="24"/>
          <w:szCs w:val="24"/>
        </w:rPr>
        <w:tab/>
      </w:r>
      <w:r w:rsidRPr="000B7E2C">
        <w:rPr>
          <w:rFonts w:ascii="Times New Roman" w:hAnsi="Times New Roman" w:cs="Times New Roman"/>
          <w:sz w:val="24"/>
          <w:szCs w:val="24"/>
        </w:rPr>
        <w:t xml:space="preserve">Ținând cont de indicațiile metodologice ale </w:t>
      </w:r>
      <w:r w:rsidR="00EE378F" w:rsidRPr="000B7E2C">
        <w:rPr>
          <w:rFonts w:ascii="Times New Roman" w:hAnsi="Times New Roman" w:cs="Times New Roman"/>
          <w:sz w:val="24"/>
          <w:szCs w:val="24"/>
        </w:rPr>
        <w:t xml:space="preserve">EBA </w:t>
      </w:r>
      <w:r w:rsidRPr="000B7E2C">
        <w:rPr>
          <w:rFonts w:ascii="Times New Roman" w:hAnsi="Times New Roman" w:cs="Times New Roman"/>
          <w:sz w:val="24"/>
          <w:szCs w:val="24"/>
        </w:rPr>
        <w:t>dar și de intervalele de evaluare stabilite de aceasta, BNR efectuează  analize similare a sistemului bancar național în baza informațiilor raportate de bănci la nivel individual.Aceste analize evidențiază în final calitatea activelor sistemului bancar național</w:t>
      </w:r>
      <w:r w:rsidRPr="000B7E2C">
        <w:rPr>
          <w:rFonts w:ascii="Times New Roman" w:hAnsi="Times New Roman" w:cs="Times New Roman"/>
        </w:rPr>
        <w:t>.</w:t>
      </w:r>
    </w:p>
    <w:p w:rsidR="00DE78D7" w:rsidRDefault="00F37754" w:rsidP="00EE378F">
      <w:pPr>
        <w:spacing w:after="0" w:line="240" w:lineRule="auto"/>
        <w:jc w:val="both"/>
        <w:rPr>
          <w:rFonts w:ascii="Times New Roman" w:hAnsi="Times New Roman" w:cs="Times New Roman"/>
          <w:sz w:val="24"/>
          <w:szCs w:val="24"/>
        </w:rPr>
      </w:pPr>
      <w:r>
        <w:rPr>
          <w:rFonts w:ascii="Times New Roman" w:hAnsi="Times New Roman" w:cs="Times New Roman"/>
        </w:rPr>
        <w:tab/>
      </w:r>
      <w:r w:rsidR="00DE78D7" w:rsidRPr="00DE78D7">
        <w:rPr>
          <w:rFonts w:ascii="Times New Roman" w:hAnsi="Times New Roman" w:cs="Times New Roman"/>
          <w:sz w:val="24"/>
          <w:szCs w:val="24"/>
        </w:rPr>
        <w:t>Creditorii trebuie să verifice înainte de acordarea împrumutului faptul că debitorii pot face față unor evoluții nefavorabile privind rata dobânzii, cursul de schimb și venitul disponibil, iar gradul maxim de îndatorare în cazul în care s</w:t>
      </w:r>
      <w:r w:rsidR="00DE78D7" w:rsidRPr="00DE78D7">
        <w:rPr>
          <w:rFonts w:ascii="Times New Roman" w:hAnsi="Times New Roman" w:cs="Times New Roman"/>
          <w:b/>
          <w:sz w:val="24"/>
          <w:szCs w:val="24"/>
        </w:rPr>
        <w:t>-</w:t>
      </w:r>
      <w:r w:rsidR="00DE78D7" w:rsidRPr="00DE78D7">
        <w:rPr>
          <w:rFonts w:ascii="Times New Roman" w:hAnsi="Times New Roman" w:cs="Times New Roman"/>
          <w:sz w:val="24"/>
          <w:szCs w:val="24"/>
        </w:rPr>
        <w:t xml:space="preserve">ar manifesta respectivele riscuri nu trebuie să depășească pragurile menționate explicit. </w:t>
      </w:r>
    </w:p>
    <w:p w:rsidR="00F37754" w:rsidRPr="00DE78D7" w:rsidRDefault="00DE78D7" w:rsidP="00EE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37754" w:rsidRPr="00DE78D7">
        <w:rPr>
          <w:rFonts w:ascii="Times New Roman" w:hAnsi="Times New Roman" w:cs="Times New Roman"/>
          <w:sz w:val="24"/>
          <w:szCs w:val="24"/>
        </w:rPr>
        <w:t xml:space="preserve">În concluzie, calitatea activelor bancare are o mare importanță pentru bunul mers al activității bancare. Managementul întregului portofoliu al unei bănci poate fi denumit managementul activelor şi pasivelor. </w:t>
      </w:r>
    </w:p>
    <w:p w:rsidR="00CA60B1" w:rsidRPr="000E18E4" w:rsidRDefault="00EE378F" w:rsidP="00CA60B1">
      <w:pPr>
        <w:autoSpaceDE w:val="0"/>
        <w:autoSpaceDN w:val="0"/>
        <w:adjustRightInd w:val="0"/>
        <w:spacing w:after="0" w:line="240" w:lineRule="auto"/>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3</w:t>
      </w:r>
      <w:r w:rsidR="0071792D">
        <w:rPr>
          <w:rFonts w:ascii="Times New Roman" w:hAnsi="Times New Roman" w:cs="Times New Roman"/>
          <w:b/>
          <w:color w:val="000000" w:themeColor="text1"/>
          <w:sz w:val="24"/>
          <w:szCs w:val="24"/>
          <w:lang w:val="ro-RO"/>
        </w:rPr>
        <w:t>. CAUZELE APARIȚIEI CREDITELOR NEPERFORMANTE ÎN ROMÂNIA</w:t>
      </w:r>
    </w:p>
    <w:p w:rsidR="00CA60B1" w:rsidRDefault="00CA60B1" w:rsidP="00CA60B1">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b/>
        <w:t xml:space="preserve">Apariția creditelor neperformante, dinamica lor este legată de situația economică existentă la un moment dat, care poate fi </w:t>
      </w:r>
      <w:r w:rsidRPr="00602EFC">
        <w:rPr>
          <w:rFonts w:ascii="Times New Roman" w:hAnsi="Times New Roman" w:cs="Times New Roman"/>
          <w:color w:val="000000" w:themeColor="text1"/>
          <w:sz w:val="24"/>
          <w:szCs w:val="24"/>
          <w:lang w:val="ro-RO"/>
        </w:rPr>
        <w:t>diferită de la un sector de activitate la altul, iar înăsprirea</w:t>
      </w:r>
      <w:r>
        <w:rPr>
          <w:rFonts w:ascii="Times New Roman" w:hAnsi="Times New Roman" w:cs="Times New Roman"/>
          <w:color w:val="000000" w:themeColor="text1"/>
          <w:sz w:val="24"/>
          <w:szCs w:val="24"/>
          <w:lang w:val="ro-RO"/>
        </w:rPr>
        <w:t xml:space="preserve"> </w:t>
      </w:r>
      <w:r w:rsidRPr="00602EFC">
        <w:rPr>
          <w:rFonts w:ascii="Times New Roman" w:hAnsi="Times New Roman" w:cs="Times New Roman"/>
          <w:color w:val="000000" w:themeColor="text1"/>
          <w:sz w:val="24"/>
          <w:szCs w:val="24"/>
          <w:lang w:val="ro-RO"/>
        </w:rPr>
        <w:t>condi</w:t>
      </w:r>
      <w:r>
        <w:rPr>
          <w:rFonts w:ascii="Times New Roman" w:hAnsi="Times New Roman" w:cs="Times New Roman"/>
          <w:color w:val="000000" w:themeColor="text1"/>
          <w:sz w:val="24"/>
          <w:szCs w:val="24"/>
          <w:lang w:val="ro-RO"/>
        </w:rPr>
        <w:t>ţiilor monetare poate accentua apariția acestui tip de credit</w:t>
      </w:r>
      <w:r w:rsidRPr="00602EFC">
        <w:rPr>
          <w:rFonts w:ascii="Times New Roman" w:hAnsi="Times New Roman" w:cs="Times New Roman"/>
          <w:color w:val="000000" w:themeColor="text1"/>
          <w:sz w:val="24"/>
          <w:szCs w:val="24"/>
          <w:lang w:val="ro-RO"/>
        </w:rPr>
        <w:t xml:space="preserve">. </w:t>
      </w:r>
    </w:p>
    <w:p w:rsidR="00530628" w:rsidRDefault="00CA60B1" w:rsidP="00CA60B1">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b/>
      </w:r>
      <w:r w:rsidRPr="00602EFC">
        <w:rPr>
          <w:rFonts w:ascii="Times New Roman" w:hAnsi="Times New Roman" w:cs="Times New Roman"/>
          <w:color w:val="000000" w:themeColor="text1"/>
          <w:sz w:val="24"/>
          <w:szCs w:val="24"/>
          <w:lang w:val="ro-RO"/>
        </w:rPr>
        <w:t>Dom</w:t>
      </w:r>
      <w:r>
        <w:rPr>
          <w:rFonts w:ascii="Times New Roman" w:hAnsi="Times New Roman" w:cs="Times New Roman"/>
          <w:color w:val="000000" w:themeColor="text1"/>
          <w:sz w:val="24"/>
          <w:szCs w:val="24"/>
          <w:lang w:val="ro-RO"/>
        </w:rPr>
        <w:t xml:space="preserve">eniile economice cele </w:t>
      </w:r>
      <w:r w:rsidRPr="00602EFC">
        <w:rPr>
          <w:rFonts w:ascii="Times New Roman" w:hAnsi="Times New Roman" w:cs="Times New Roman"/>
          <w:color w:val="000000" w:themeColor="text1"/>
          <w:sz w:val="24"/>
          <w:szCs w:val="24"/>
          <w:lang w:val="ro-RO"/>
        </w:rPr>
        <w:t>mai expuse unui astfel de proces sunt ace</w:t>
      </w:r>
      <w:r>
        <w:rPr>
          <w:rFonts w:ascii="Times New Roman" w:hAnsi="Times New Roman" w:cs="Times New Roman"/>
          <w:color w:val="000000" w:themeColor="text1"/>
          <w:sz w:val="24"/>
          <w:szCs w:val="24"/>
          <w:lang w:val="ro-RO"/>
        </w:rPr>
        <w:t xml:space="preserve">lea pentru care sistemul bancar </w:t>
      </w:r>
      <w:r w:rsidRPr="00602EFC">
        <w:rPr>
          <w:rFonts w:ascii="Times New Roman" w:hAnsi="Times New Roman" w:cs="Times New Roman"/>
          <w:color w:val="000000" w:themeColor="text1"/>
          <w:sz w:val="24"/>
          <w:szCs w:val="24"/>
          <w:lang w:val="ro-RO"/>
        </w:rPr>
        <w:t>finanţează atât o parte importantă a capitalul</w:t>
      </w:r>
      <w:r>
        <w:rPr>
          <w:rFonts w:ascii="Times New Roman" w:hAnsi="Times New Roman" w:cs="Times New Roman"/>
          <w:color w:val="000000" w:themeColor="text1"/>
          <w:sz w:val="24"/>
          <w:szCs w:val="24"/>
          <w:lang w:val="ro-RO"/>
        </w:rPr>
        <w:t xml:space="preserve">ui lor de lucru, cât şi cererea </w:t>
      </w:r>
      <w:r w:rsidRPr="00602EFC">
        <w:rPr>
          <w:rFonts w:ascii="Times New Roman" w:hAnsi="Times New Roman" w:cs="Times New Roman"/>
          <w:color w:val="000000" w:themeColor="text1"/>
          <w:sz w:val="24"/>
          <w:szCs w:val="24"/>
          <w:lang w:val="ro-RO"/>
        </w:rPr>
        <w:lastRenderedPageBreak/>
        <w:t>produselor/serviciilor pe care le furnizează. Exe</w:t>
      </w:r>
      <w:r>
        <w:rPr>
          <w:rFonts w:ascii="Times New Roman" w:hAnsi="Times New Roman" w:cs="Times New Roman"/>
          <w:color w:val="000000" w:themeColor="text1"/>
          <w:sz w:val="24"/>
          <w:szCs w:val="24"/>
          <w:lang w:val="ro-RO"/>
        </w:rPr>
        <w:t xml:space="preserve">mplul cel mai elocvent este dat </w:t>
      </w:r>
      <w:r w:rsidRPr="00602EFC">
        <w:rPr>
          <w:rFonts w:ascii="Times New Roman" w:hAnsi="Times New Roman" w:cs="Times New Roman"/>
          <w:color w:val="000000" w:themeColor="text1"/>
          <w:sz w:val="24"/>
          <w:szCs w:val="24"/>
          <w:lang w:val="ro-RO"/>
        </w:rPr>
        <w:t xml:space="preserve">de sectorul construcţiilor, pentru care creditarea </w:t>
      </w:r>
      <w:r>
        <w:rPr>
          <w:rFonts w:ascii="Times New Roman" w:hAnsi="Times New Roman" w:cs="Times New Roman"/>
          <w:color w:val="000000" w:themeColor="text1"/>
          <w:sz w:val="24"/>
          <w:szCs w:val="24"/>
          <w:lang w:val="ro-RO"/>
        </w:rPr>
        <w:t xml:space="preserve">bancară asigură atât finanţarea </w:t>
      </w:r>
      <w:r w:rsidRPr="00602EFC">
        <w:rPr>
          <w:rFonts w:ascii="Times New Roman" w:hAnsi="Times New Roman" w:cs="Times New Roman"/>
          <w:color w:val="000000" w:themeColor="text1"/>
          <w:sz w:val="24"/>
          <w:szCs w:val="24"/>
          <w:lang w:val="ro-RO"/>
        </w:rPr>
        <w:t>dezvoltatorilor imobiliari, cât şi majoritatea</w:t>
      </w:r>
      <w:r>
        <w:rPr>
          <w:rFonts w:ascii="Times New Roman" w:hAnsi="Times New Roman" w:cs="Times New Roman"/>
          <w:color w:val="000000" w:themeColor="text1"/>
          <w:sz w:val="24"/>
          <w:szCs w:val="24"/>
          <w:lang w:val="ro-RO"/>
        </w:rPr>
        <w:t xml:space="preserve"> resurselor necesare cumpărării </w:t>
      </w:r>
      <w:r w:rsidRPr="00602EFC">
        <w:rPr>
          <w:rFonts w:ascii="Times New Roman" w:hAnsi="Times New Roman" w:cs="Times New Roman"/>
          <w:color w:val="000000" w:themeColor="text1"/>
          <w:sz w:val="24"/>
          <w:szCs w:val="24"/>
          <w:lang w:val="ro-RO"/>
        </w:rPr>
        <w:t>apartamentelor şi a spaţiilor comerciale astfel create</w:t>
      </w:r>
      <w:r w:rsidR="00EE378F">
        <w:rPr>
          <w:rFonts w:ascii="Times New Roman" w:hAnsi="Times New Roman" w:cs="Times New Roman"/>
          <w:color w:val="000000" w:themeColor="text1"/>
          <w:sz w:val="24"/>
          <w:szCs w:val="24"/>
          <w:lang w:val="ro-RO"/>
        </w:rPr>
        <w:t>, de către agenții economici</w:t>
      </w:r>
      <w:r w:rsidRPr="00602EFC">
        <w:rPr>
          <w:rFonts w:ascii="Times New Roman" w:hAnsi="Times New Roman" w:cs="Times New Roman"/>
          <w:color w:val="000000" w:themeColor="text1"/>
          <w:sz w:val="24"/>
          <w:szCs w:val="24"/>
          <w:lang w:val="ro-RO"/>
        </w:rPr>
        <w:t>.</w:t>
      </w:r>
    </w:p>
    <w:p w:rsidR="00CA60B1" w:rsidRPr="0077252B" w:rsidRDefault="00CA60B1" w:rsidP="00CA60B1">
      <w:pPr>
        <w:autoSpaceDE w:val="0"/>
        <w:autoSpaceDN w:val="0"/>
        <w:adjustRightInd w:val="0"/>
        <w:spacing w:after="0" w:line="240" w:lineRule="auto"/>
        <w:jc w:val="both"/>
        <w:rPr>
          <w:rFonts w:ascii="Times New Roman" w:hAnsi="Times New Roman" w:cs="Times New Roman"/>
          <w:b/>
          <w:color w:val="000000" w:themeColor="text1"/>
          <w:sz w:val="24"/>
          <w:szCs w:val="24"/>
          <w:lang w:val="ro-RO"/>
        </w:rPr>
      </w:pPr>
      <w:r w:rsidRPr="00602EFC">
        <w:rPr>
          <w:rFonts w:ascii="Times New Roman" w:hAnsi="Times New Roman" w:cs="Times New Roman"/>
          <w:color w:val="000000" w:themeColor="text1"/>
          <w:sz w:val="24"/>
          <w:szCs w:val="24"/>
          <w:lang w:val="ro-RO"/>
        </w:rPr>
        <w:t xml:space="preserve"> </w:t>
      </w:r>
      <w:r w:rsidR="00530628">
        <w:rPr>
          <w:rFonts w:ascii="Times New Roman" w:hAnsi="Times New Roman" w:cs="Times New Roman"/>
          <w:color w:val="000000" w:themeColor="text1"/>
          <w:sz w:val="24"/>
          <w:szCs w:val="24"/>
          <w:lang w:val="ro-RO"/>
        </w:rPr>
        <w:tab/>
      </w:r>
      <w:r w:rsidR="00530628" w:rsidRPr="0077252B">
        <w:rPr>
          <w:rFonts w:ascii="Times New Roman" w:hAnsi="Times New Roman" w:cs="Times New Roman"/>
          <w:b/>
          <w:color w:val="000000" w:themeColor="text1"/>
          <w:sz w:val="24"/>
          <w:szCs w:val="24"/>
          <w:lang w:val="ro-RO"/>
        </w:rPr>
        <w:t>Una din marile probleme ale băncilor din România, după anul 2010 a fost înregistrarea de credite neperformante.Creditele neperformante au atins și 31,5% din total credite, în anul 2013, înregistrând valori mari și în anii 2011, 2012, 2014 și chiar 2015. În ultimii ani (2016,</w:t>
      </w:r>
      <w:r w:rsidR="0077252B" w:rsidRPr="0077252B">
        <w:rPr>
          <w:rFonts w:ascii="Times New Roman" w:hAnsi="Times New Roman" w:cs="Times New Roman"/>
          <w:b/>
          <w:color w:val="000000" w:themeColor="text1"/>
          <w:sz w:val="24"/>
          <w:szCs w:val="24"/>
          <w:lang w:val="ro-RO"/>
        </w:rPr>
        <w:t xml:space="preserve"> </w:t>
      </w:r>
      <w:r w:rsidR="00530628" w:rsidRPr="0077252B">
        <w:rPr>
          <w:rFonts w:ascii="Times New Roman" w:hAnsi="Times New Roman" w:cs="Times New Roman"/>
          <w:b/>
          <w:color w:val="000000" w:themeColor="text1"/>
          <w:sz w:val="24"/>
          <w:szCs w:val="24"/>
          <w:lang w:val="ro-RO"/>
        </w:rPr>
        <w:t>2017) creditele neperformante s-au redus, ajungând la 6,4,% din total credite, la finele lunii decembrie 2017.</w:t>
      </w:r>
    </w:p>
    <w:p w:rsidR="00CA60B1" w:rsidRDefault="00CA60B1" w:rsidP="00CA60B1">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color w:val="000000" w:themeColor="text1"/>
          <w:sz w:val="24"/>
          <w:szCs w:val="24"/>
          <w:lang w:val="ro-RO"/>
        </w:rPr>
        <w:tab/>
      </w:r>
      <w:r w:rsidRPr="00602EFC">
        <w:rPr>
          <w:rFonts w:ascii="Times New Roman" w:hAnsi="Times New Roman" w:cs="Times New Roman"/>
          <w:color w:val="000000" w:themeColor="text1"/>
          <w:sz w:val="24"/>
          <w:szCs w:val="24"/>
          <w:lang w:val="ro-RO"/>
        </w:rPr>
        <w:t xml:space="preserve">Aprofundarea </w:t>
      </w:r>
      <w:r>
        <w:rPr>
          <w:rFonts w:ascii="Times New Roman" w:hAnsi="Times New Roman" w:cs="Times New Roman"/>
          <w:color w:val="000000" w:themeColor="text1"/>
          <w:sz w:val="24"/>
          <w:szCs w:val="24"/>
          <w:lang w:val="ro-RO"/>
        </w:rPr>
        <w:t>factorilor care pot determina nivelul creditelor neperformante poate duce la analize separate a creditării firmelor și a populației.</w:t>
      </w:r>
      <w:r w:rsidR="0077252B">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Din studiile existente</w:t>
      </w:r>
      <w:r w:rsidR="00EE378F">
        <w:rPr>
          <w:rFonts w:ascii="Times New Roman" w:hAnsi="Times New Roman" w:cs="Times New Roman"/>
          <w:color w:val="000000" w:themeColor="text1"/>
          <w:sz w:val="24"/>
          <w:szCs w:val="24"/>
          <w:lang w:val="ro-RO"/>
        </w:rPr>
        <w:t xml:space="preserve"> </w:t>
      </w:r>
      <w:r w:rsidR="00EE378F">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lang w:val="ro-RO"/>
        </w:rPr>
        <w:t>,</w:t>
      </w:r>
      <w:r w:rsidR="00EE378F">
        <w:rPr>
          <w:rFonts w:ascii="Times New Roman" w:hAnsi="Times New Roman" w:cs="Times New Roman"/>
          <w:color w:val="000000" w:themeColor="text1"/>
          <w:sz w:val="24"/>
          <w:szCs w:val="24"/>
          <w:lang w:val="ro-RO"/>
        </w:rPr>
        <w:t xml:space="preserve"> </w:t>
      </w:r>
      <w:r w:rsidRPr="00863B0A">
        <w:rPr>
          <w:rFonts w:ascii="Times New Roman" w:hAnsi="Times New Roman" w:cs="Times New Roman"/>
          <w:sz w:val="24"/>
          <w:szCs w:val="24"/>
          <w:lang w:val="ro-RO"/>
        </w:rPr>
        <w:t>factorii macroeconomici determinanţi ai ratelor de default sunt, în general, aceiaşi pentru cele</w:t>
      </w:r>
      <w:r>
        <w:rPr>
          <w:rFonts w:ascii="Times New Roman" w:hAnsi="Times New Roman" w:cs="Times New Roman"/>
          <w:sz w:val="24"/>
          <w:szCs w:val="24"/>
          <w:lang w:val="ro-RO"/>
        </w:rPr>
        <w:t xml:space="preserve"> două categorii de participanți la procesul de creditare</w:t>
      </w:r>
      <w:r w:rsidRPr="00863B0A">
        <w:rPr>
          <w:rFonts w:ascii="Times New Roman" w:hAnsi="Times New Roman" w:cs="Times New Roman"/>
          <w:sz w:val="24"/>
          <w:szCs w:val="24"/>
          <w:lang w:val="ro-RO"/>
        </w:rPr>
        <w:t>, rata inflaţiei şi rata dobânzii pe termen scurt influenţând în proporţii similare atât c</w:t>
      </w:r>
      <w:r>
        <w:rPr>
          <w:rFonts w:ascii="Times New Roman" w:hAnsi="Times New Roman" w:cs="Times New Roman"/>
          <w:sz w:val="24"/>
          <w:szCs w:val="24"/>
          <w:lang w:val="ro-RO"/>
        </w:rPr>
        <w:t>apacitatea de rambursare a firmelor</w:t>
      </w:r>
      <w:r w:rsidRPr="00863B0A">
        <w:rPr>
          <w:rFonts w:ascii="Times New Roman" w:hAnsi="Times New Roman" w:cs="Times New Roman"/>
          <w:sz w:val="24"/>
          <w:szCs w:val="24"/>
          <w:lang w:val="ro-RO"/>
        </w:rPr>
        <w:t>, cât şi pe cea a populaţiei.</w:t>
      </w:r>
    </w:p>
    <w:p w:rsidR="00CA60B1" w:rsidRPr="00863B0A" w:rsidRDefault="00CA60B1" w:rsidP="00CC3559">
      <w:pPr>
        <w:keepNext/>
        <w:widowControl w:val="0"/>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sz w:val="24"/>
          <w:szCs w:val="24"/>
          <w:lang w:val="ro-RO"/>
        </w:rPr>
        <w:tab/>
        <w:t xml:space="preserve">Și alți factori precum: </w:t>
      </w:r>
      <w:r>
        <w:rPr>
          <w:rFonts w:ascii="Times New Roman" w:hAnsi="Times New Roman" w:cs="Times New Roman"/>
          <w:color w:val="000000" w:themeColor="text1"/>
          <w:sz w:val="24"/>
          <w:szCs w:val="24"/>
          <w:lang w:val="ro-RO"/>
        </w:rPr>
        <w:t xml:space="preserve">rata anuală de creştere a PIB, </w:t>
      </w:r>
      <w:r w:rsidRPr="00863B0A">
        <w:rPr>
          <w:rFonts w:ascii="Times New Roman" w:hAnsi="Times New Roman" w:cs="Times New Roman"/>
          <w:color w:val="000000" w:themeColor="text1"/>
          <w:sz w:val="24"/>
          <w:szCs w:val="24"/>
          <w:lang w:val="ro-RO"/>
        </w:rPr>
        <w:t>gradul de îndatorare financiară</w:t>
      </w:r>
      <w:r>
        <w:rPr>
          <w:rFonts w:ascii="Times New Roman" w:hAnsi="Times New Roman" w:cs="Times New Roman"/>
          <w:color w:val="000000" w:themeColor="text1"/>
          <w:sz w:val="24"/>
          <w:szCs w:val="24"/>
          <w:lang w:val="ro-RO"/>
        </w:rPr>
        <w:t xml:space="preserve">, rata şomajului, rata reală a dobânzii sau </w:t>
      </w:r>
      <w:r w:rsidRPr="00863B0A">
        <w:rPr>
          <w:rFonts w:ascii="Times New Roman" w:hAnsi="Times New Roman" w:cs="Times New Roman"/>
          <w:color w:val="000000" w:themeColor="text1"/>
          <w:sz w:val="24"/>
          <w:szCs w:val="24"/>
          <w:lang w:val="ro-RO"/>
        </w:rPr>
        <w:t>venitul disponibil</w:t>
      </w:r>
      <w:r>
        <w:rPr>
          <w:rFonts w:ascii="Times New Roman" w:hAnsi="Times New Roman" w:cs="Times New Roman"/>
          <w:color w:val="000000" w:themeColor="text1"/>
          <w:sz w:val="24"/>
          <w:szCs w:val="24"/>
          <w:lang w:val="ro-RO"/>
        </w:rPr>
        <w:t xml:space="preserve">, </w:t>
      </w:r>
      <w:r w:rsidRPr="00863B0A">
        <w:rPr>
          <w:rFonts w:ascii="Times New Roman" w:hAnsi="Times New Roman" w:cs="Times New Roman"/>
          <w:color w:val="000000" w:themeColor="text1"/>
          <w:sz w:val="24"/>
          <w:szCs w:val="24"/>
          <w:lang w:val="ro-RO"/>
        </w:rPr>
        <w:t>influenţează rata de default a creditelor acordate</w:t>
      </w:r>
      <w:r>
        <w:rPr>
          <w:rFonts w:ascii="Times New Roman" w:hAnsi="Times New Roman" w:cs="Times New Roman"/>
          <w:color w:val="000000" w:themeColor="text1"/>
          <w:sz w:val="24"/>
          <w:szCs w:val="24"/>
          <w:lang w:val="ro-RO"/>
        </w:rPr>
        <w:t>.</w:t>
      </w:r>
      <w:r w:rsidR="00EE378F">
        <w:rPr>
          <w:rFonts w:ascii="Times New Roman" w:hAnsi="Times New Roman" w:cs="Times New Roman"/>
          <w:color w:val="000000" w:themeColor="text1"/>
          <w:sz w:val="24"/>
          <w:szCs w:val="24"/>
          <w:lang w:val="ro-RO"/>
        </w:rPr>
        <w:t>[12]</w:t>
      </w:r>
    </w:p>
    <w:p w:rsidR="00CA60B1" w:rsidRDefault="00CA60B1" w:rsidP="00CC3559">
      <w:pPr>
        <w:keepNext/>
        <w:widowControl w:val="0"/>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b/>
        <w:t>În România r</w:t>
      </w:r>
      <w:r w:rsidRPr="005516FD">
        <w:rPr>
          <w:rFonts w:ascii="Times New Roman" w:hAnsi="Times New Roman" w:cs="Times New Roman"/>
          <w:color w:val="000000" w:themeColor="text1"/>
          <w:sz w:val="24"/>
          <w:szCs w:val="24"/>
          <w:lang w:val="ro-RO"/>
        </w:rPr>
        <w:t xml:space="preserve">ezultatele </w:t>
      </w:r>
      <w:r>
        <w:rPr>
          <w:rFonts w:ascii="Times New Roman" w:hAnsi="Times New Roman" w:cs="Times New Roman"/>
          <w:color w:val="000000" w:themeColor="text1"/>
          <w:sz w:val="24"/>
          <w:szCs w:val="24"/>
          <w:lang w:val="ro-RO"/>
        </w:rPr>
        <w:t xml:space="preserve"> unor studii </w:t>
      </w:r>
      <w:r w:rsidRPr="005516FD">
        <w:rPr>
          <w:rFonts w:ascii="Times New Roman" w:hAnsi="Times New Roman" w:cs="Times New Roman"/>
          <w:color w:val="000000" w:themeColor="text1"/>
          <w:sz w:val="24"/>
          <w:szCs w:val="24"/>
          <w:lang w:val="ro-RO"/>
        </w:rPr>
        <w:t>econometrice</w:t>
      </w:r>
      <w:r w:rsidR="000B7E2C">
        <w:rPr>
          <w:rFonts w:ascii="Times New Roman" w:hAnsi="Times New Roman" w:cs="Times New Roman"/>
          <w:color w:val="000000" w:themeColor="text1"/>
          <w:sz w:val="24"/>
          <w:szCs w:val="24"/>
          <w:lang w:val="ro-RO"/>
        </w:rPr>
        <w:t xml:space="preserve"> [13]</w:t>
      </w:r>
      <w:r w:rsidRPr="005516FD">
        <w:rPr>
          <w:rFonts w:ascii="Times New Roman" w:hAnsi="Times New Roman" w:cs="Times New Roman"/>
          <w:color w:val="000000" w:themeColor="text1"/>
          <w:sz w:val="24"/>
          <w:szCs w:val="24"/>
          <w:lang w:val="ro-RO"/>
        </w:rPr>
        <w:t xml:space="preserve"> sugerează fap</w:t>
      </w:r>
      <w:r>
        <w:rPr>
          <w:rFonts w:ascii="Times New Roman" w:hAnsi="Times New Roman" w:cs="Times New Roman"/>
          <w:color w:val="000000" w:themeColor="text1"/>
          <w:sz w:val="24"/>
          <w:szCs w:val="24"/>
          <w:lang w:val="ro-RO"/>
        </w:rPr>
        <w:t xml:space="preserve">tul că dinamica economiei reale </w:t>
      </w:r>
      <w:r w:rsidRPr="005516FD">
        <w:rPr>
          <w:rFonts w:ascii="Times New Roman" w:hAnsi="Times New Roman" w:cs="Times New Roman"/>
          <w:color w:val="000000" w:themeColor="text1"/>
          <w:sz w:val="24"/>
          <w:szCs w:val="24"/>
          <w:lang w:val="ro-RO"/>
        </w:rPr>
        <w:t xml:space="preserve">reprezintă principalul </w:t>
      </w:r>
      <w:r>
        <w:rPr>
          <w:rFonts w:ascii="Times New Roman" w:hAnsi="Times New Roman" w:cs="Times New Roman"/>
          <w:color w:val="000000" w:themeColor="text1"/>
          <w:sz w:val="24"/>
          <w:szCs w:val="24"/>
          <w:lang w:val="ro-RO"/>
        </w:rPr>
        <w:t xml:space="preserve">factor al influenței existenței </w:t>
      </w:r>
      <w:r w:rsidRPr="005516FD">
        <w:rPr>
          <w:rFonts w:ascii="Times New Roman" w:hAnsi="Times New Roman" w:cs="Times New Roman"/>
          <w:color w:val="000000" w:themeColor="text1"/>
          <w:sz w:val="24"/>
          <w:szCs w:val="24"/>
          <w:lang w:val="ro-RO"/>
        </w:rPr>
        <w:t>restanţe</w:t>
      </w:r>
      <w:r>
        <w:rPr>
          <w:rFonts w:ascii="Times New Roman" w:hAnsi="Times New Roman" w:cs="Times New Roman"/>
          <w:color w:val="000000" w:themeColor="text1"/>
          <w:sz w:val="24"/>
          <w:szCs w:val="24"/>
          <w:lang w:val="ro-RO"/>
        </w:rPr>
        <w:t xml:space="preserve">lor la nivelul portofoliului de </w:t>
      </w:r>
      <w:r w:rsidR="00530628">
        <w:rPr>
          <w:rFonts w:ascii="Times New Roman" w:hAnsi="Times New Roman" w:cs="Times New Roman"/>
          <w:color w:val="000000" w:themeColor="text1"/>
          <w:sz w:val="24"/>
          <w:szCs w:val="24"/>
          <w:lang w:val="ro-RO"/>
        </w:rPr>
        <w:t>credite acordat</w:t>
      </w:r>
      <w:r w:rsidRPr="005516FD">
        <w:rPr>
          <w:rFonts w:ascii="Times New Roman" w:hAnsi="Times New Roman" w:cs="Times New Roman"/>
          <w:color w:val="000000" w:themeColor="text1"/>
          <w:sz w:val="24"/>
          <w:szCs w:val="24"/>
          <w:lang w:val="ro-RO"/>
        </w:rPr>
        <w:t>e</w:t>
      </w:r>
      <w:r w:rsidR="000B7E2C">
        <w:rPr>
          <w:rFonts w:ascii="Times New Roman" w:hAnsi="Times New Roman" w:cs="Times New Roman"/>
          <w:color w:val="000000" w:themeColor="text1"/>
          <w:sz w:val="24"/>
          <w:szCs w:val="24"/>
          <w:lang w:val="ro-RO"/>
        </w:rPr>
        <w:t xml:space="preserve"> agen</w:t>
      </w:r>
      <w:r w:rsidR="00CC3559">
        <w:rPr>
          <w:rFonts w:ascii="Times New Roman" w:hAnsi="Times New Roman" w:cs="Times New Roman"/>
          <w:color w:val="000000" w:themeColor="text1"/>
          <w:sz w:val="24"/>
          <w:szCs w:val="24"/>
          <w:lang w:val="ro-RO"/>
        </w:rPr>
        <w:t>ţ</w:t>
      </w:r>
      <w:r w:rsidR="000B7E2C">
        <w:rPr>
          <w:rFonts w:ascii="Times New Roman" w:hAnsi="Times New Roman" w:cs="Times New Roman"/>
          <w:color w:val="000000" w:themeColor="text1"/>
          <w:sz w:val="24"/>
          <w:szCs w:val="24"/>
          <w:lang w:val="ro-RO"/>
        </w:rPr>
        <w:t>ilor economici</w:t>
      </w:r>
      <w:r>
        <w:rPr>
          <w:rFonts w:ascii="Times New Roman" w:hAnsi="Times New Roman" w:cs="Times New Roman"/>
          <w:color w:val="000000" w:themeColor="text1"/>
          <w:sz w:val="24"/>
          <w:szCs w:val="24"/>
          <w:lang w:val="ro-RO"/>
        </w:rPr>
        <w:t xml:space="preserve">. </w:t>
      </w:r>
    </w:p>
    <w:p w:rsidR="00CA60B1" w:rsidRDefault="00CA60B1" w:rsidP="00CA60B1">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b/>
        <w:t>Și investiţiile străine directe sau volumul exporturilor,</w:t>
      </w:r>
      <w:r w:rsidRPr="005516FD">
        <w:rPr>
          <w:rFonts w:ascii="Times New Roman" w:hAnsi="Times New Roman" w:cs="Times New Roman"/>
          <w:color w:val="000000" w:themeColor="text1"/>
          <w:sz w:val="24"/>
          <w:szCs w:val="24"/>
          <w:lang w:val="ro-RO"/>
        </w:rPr>
        <w:t xml:space="preserve"> influenţe</w:t>
      </w:r>
      <w:r>
        <w:rPr>
          <w:rFonts w:ascii="Times New Roman" w:hAnsi="Times New Roman" w:cs="Times New Roman"/>
          <w:color w:val="000000" w:themeColor="text1"/>
          <w:sz w:val="24"/>
          <w:szCs w:val="24"/>
          <w:lang w:val="ro-RO"/>
        </w:rPr>
        <w:t>ază negativ dinamica creditelor neperformante dar ș</w:t>
      </w:r>
      <w:r w:rsidRPr="005516FD">
        <w:rPr>
          <w:rFonts w:ascii="Times New Roman" w:hAnsi="Times New Roman" w:cs="Times New Roman"/>
          <w:color w:val="000000" w:themeColor="text1"/>
          <w:sz w:val="24"/>
          <w:szCs w:val="24"/>
          <w:lang w:val="ro-RO"/>
        </w:rPr>
        <w:t>i cursul de schimb, a cărui dinamică se r</w:t>
      </w:r>
      <w:r>
        <w:rPr>
          <w:rFonts w:ascii="Times New Roman" w:hAnsi="Times New Roman" w:cs="Times New Roman"/>
          <w:color w:val="000000" w:themeColor="text1"/>
          <w:sz w:val="24"/>
          <w:szCs w:val="24"/>
          <w:lang w:val="ro-RO"/>
        </w:rPr>
        <w:t xml:space="preserve">eflectă în evoluţia capacităţii </w:t>
      </w:r>
      <w:r w:rsidRPr="005516FD">
        <w:rPr>
          <w:rFonts w:ascii="Times New Roman" w:hAnsi="Times New Roman" w:cs="Times New Roman"/>
          <w:color w:val="000000" w:themeColor="text1"/>
          <w:sz w:val="24"/>
          <w:szCs w:val="24"/>
          <w:lang w:val="ro-RO"/>
        </w:rPr>
        <w:t>de rambursare a creditelor la nivelul sectoarelor co</w:t>
      </w:r>
      <w:r>
        <w:rPr>
          <w:rFonts w:ascii="Times New Roman" w:hAnsi="Times New Roman" w:cs="Times New Roman"/>
          <w:color w:val="000000" w:themeColor="text1"/>
          <w:sz w:val="24"/>
          <w:szCs w:val="24"/>
          <w:lang w:val="ro-RO"/>
        </w:rPr>
        <w:t>merţ</w:t>
      </w:r>
      <w:r w:rsidRPr="00CE1E86">
        <w:rPr>
          <w:rFonts w:ascii="Times New Roman" w:hAnsi="Times New Roman" w:cs="Times New Roman"/>
          <w:b/>
          <w:color w:val="000000" w:themeColor="text1"/>
          <w:sz w:val="24"/>
          <w:szCs w:val="24"/>
          <w:lang w:val="ro-RO"/>
        </w:rPr>
        <w:t>-</w:t>
      </w:r>
      <w:r>
        <w:rPr>
          <w:rFonts w:ascii="Times New Roman" w:hAnsi="Times New Roman" w:cs="Times New Roman"/>
          <w:color w:val="000000" w:themeColor="text1"/>
          <w:sz w:val="24"/>
          <w:szCs w:val="24"/>
          <w:lang w:val="ro-RO"/>
        </w:rPr>
        <w:t>servicii şi construcţii. De asemenea există o puternică legătură</w:t>
      </w:r>
      <w:r w:rsidRPr="005516FD">
        <w:rPr>
          <w:rFonts w:ascii="Times New Roman" w:hAnsi="Times New Roman" w:cs="Times New Roman"/>
          <w:color w:val="000000" w:themeColor="text1"/>
          <w:sz w:val="24"/>
          <w:szCs w:val="24"/>
          <w:lang w:val="ro-RO"/>
        </w:rPr>
        <w:t xml:space="preserve"> de determinare între evoluţia creditu</w:t>
      </w:r>
      <w:r>
        <w:rPr>
          <w:rFonts w:ascii="Times New Roman" w:hAnsi="Times New Roman" w:cs="Times New Roman"/>
          <w:color w:val="000000" w:themeColor="text1"/>
          <w:sz w:val="24"/>
          <w:szCs w:val="24"/>
          <w:lang w:val="ro-RO"/>
        </w:rPr>
        <w:t xml:space="preserve">lui ipotecar şi cea a dinamicii </w:t>
      </w:r>
      <w:r w:rsidRPr="005516FD">
        <w:rPr>
          <w:rFonts w:ascii="Times New Roman" w:hAnsi="Times New Roman" w:cs="Times New Roman"/>
          <w:color w:val="000000" w:themeColor="text1"/>
          <w:sz w:val="24"/>
          <w:szCs w:val="24"/>
          <w:lang w:val="ro-RO"/>
        </w:rPr>
        <w:t>creditelor neperformante în sectorul construcţiilor.</w:t>
      </w:r>
    </w:p>
    <w:p w:rsidR="00CC3559" w:rsidRPr="00530628" w:rsidRDefault="00CC3559" w:rsidP="00CA60B1">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color w:val="000000" w:themeColor="text1"/>
          <w:sz w:val="24"/>
          <w:szCs w:val="24"/>
          <w:lang w:val="ro-RO"/>
        </w:rPr>
        <w:tab/>
        <w:t>Sintetic prezentăm care au fost cauzele principale ale înregistrării de credite neperformante,</w:t>
      </w:r>
      <w:r w:rsidR="00F94506">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în sectorul bancar românesc începând cu </w:t>
      </w:r>
      <w:r w:rsidRPr="00530628">
        <w:rPr>
          <w:rFonts w:ascii="Times New Roman" w:hAnsi="Times New Roman" w:cs="Times New Roman"/>
          <w:sz w:val="24"/>
          <w:szCs w:val="24"/>
          <w:lang w:val="ro-RO"/>
        </w:rPr>
        <w:t xml:space="preserve">anul </w:t>
      </w:r>
      <w:r w:rsidR="00530628" w:rsidRPr="00530628">
        <w:rPr>
          <w:rFonts w:ascii="Times New Roman" w:hAnsi="Times New Roman" w:cs="Times New Roman"/>
          <w:sz w:val="24"/>
          <w:szCs w:val="24"/>
          <w:lang w:val="ro-RO"/>
        </w:rPr>
        <w:t>2010</w:t>
      </w:r>
      <w:r w:rsidRPr="00530628">
        <w:rPr>
          <w:rFonts w:ascii="Times New Roman" w:hAnsi="Times New Roman" w:cs="Times New Roman"/>
          <w:sz w:val="24"/>
          <w:szCs w:val="24"/>
          <w:lang w:val="ro-RO"/>
        </w:rPr>
        <w:t>. Iată pe scurt o sinteză a acestor cauze:</w:t>
      </w:r>
    </w:p>
    <w:p w:rsidR="00CC3559" w:rsidRDefault="00CC3559" w:rsidP="00CA60B1">
      <w:pPr>
        <w:autoSpaceDE w:val="0"/>
        <w:autoSpaceDN w:val="0"/>
        <w:adjustRightInd w:val="0"/>
        <w:spacing w:after="0" w:line="240" w:lineRule="auto"/>
        <w:jc w:val="both"/>
        <w:rPr>
          <w:rFonts w:ascii="Times New Roman" w:hAnsi="Times New Roman" w:cs="Times New Roman"/>
          <w:sz w:val="24"/>
          <w:szCs w:val="24"/>
          <w:lang w:val="ro-RO"/>
        </w:rPr>
      </w:pPr>
      <w:r w:rsidRPr="00CC3559">
        <w:rPr>
          <w:rFonts w:ascii="Times New Roman" w:hAnsi="Times New Roman" w:cs="Times New Roman"/>
          <w:b/>
          <w:sz w:val="24"/>
          <w:szCs w:val="24"/>
        </w:rPr>
        <w:t xml:space="preserve">- </w:t>
      </w:r>
      <w:r w:rsidRPr="00CC3559">
        <w:rPr>
          <w:rFonts w:ascii="Times New Roman" w:hAnsi="Times New Roman" w:cs="Times New Roman"/>
          <w:sz w:val="24"/>
          <w:szCs w:val="24"/>
        </w:rPr>
        <w:t>starea economiei, situ</w:t>
      </w:r>
      <w:r w:rsidRPr="00CC3559">
        <w:rPr>
          <w:rFonts w:ascii="Times New Roman" w:hAnsi="Times New Roman" w:cs="Times New Roman"/>
          <w:sz w:val="24"/>
          <w:szCs w:val="24"/>
          <w:lang w:val="ro-RO"/>
        </w:rPr>
        <w:t>aţia economică evidenţiată prin indicatorul PIB</w:t>
      </w:r>
      <w:r>
        <w:rPr>
          <w:rFonts w:ascii="Times New Roman" w:hAnsi="Times New Roman" w:cs="Times New Roman"/>
          <w:sz w:val="24"/>
          <w:szCs w:val="24"/>
          <w:lang w:val="ro-RO"/>
        </w:rPr>
        <w:t>,</w:t>
      </w:r>
      <w:r w:rsidR="00AC5958">
        <w:rPr>
          <w:rFonts w:ascii="Times New Roman" w:hAnsi="Times New Roman" w:cs="Times New Roman"/>
          <w:sz w:val="24"/>
          <w:szCs w:val="24"/>
          <w:lang w:val="ro-RO"/>
        </w:rPr>
        <w:t xml:space="preserve"> </w:t>
      </w:r>
      <w:r>
        <w:rPr>
          <w:rFonts w:ascii="Times New Roman" w:hAnsi="Times New Roman" w:cs="Times New Roman"/>
          <w:sz w:val="24"/>
          <w:szCs w:val="24"/>
          <w:lang w:val="ro-RO"/>
        </w:rPr>
        <w:t>aici putem nuanţa faptul că unele ramuri economice sunt mai sensibile la evoluţia economiei şi de aceea</w:t>
      </w:r>
      <w:r w:rsidR="00A05C92">
        <w:rPr>
          <w:rFonts w:ascii="Times New Roman" w:hAnsi="Times New Roman" w:cs="Times New Roman"/>
          <w:sz w:val="24"/>
          <w:szCs w:val="24"/>
          <w:lang w:val="ro-RO"/>
        </w:rPr>
        <w:t xml:space="preserve"> sunt mai riscante pentru bănci,</w:t>
      </w:r>
    </w:p>
    <w:p w:rsidR="00AC5958" w:rsidRPr="00F94506" w:rsidRDefault="00CC3559" w:rsidP="00F94506">
      <w:pPr>
        <w:autoSpaceDE w:val="0"/>
        <w:autoSpaceDN w:val="0"/>
        <w:adjustRightInd w:val="0"/>
        <w:spacing w:after="0" w:line="240" w:lineRule="auto"/>
        <w:jc w:val="both"/>
        <w:rPr>
          <w:rFonts w:ascii="Times New Roman" w:hAnsi="Times New Roman" w:cs="Times New Roman"/>
          <w:b/>
          <w:sz w:val="24"/>
          <w:szCs w:val="24"/>
          <w:lang w:val="ro-RO"/>
        </w:rPr>
      </w:pPr>
      <w:r w:rsidRPr="00CC3559">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00AC5958" w:rsidRPr="00F94506">
        <w:rPr>
          <w:rFonts w:ascii="Times New Roman" w:hAnsi="Times New Roman" w:cs="Times New Roman"/>
          <w:sz w:val="24"/>
          <w:szCs w:val="24"/>
          <w:lang w:val="ro-RO"/>
        </w:rPr>
        <w:t>gradul de îndatorare financiară a agenţilor economici, aici putem remarca existenţa capitalului propriu negativ (în cazul firmelor) şi situaţia avuţiei nete a populaţiei</w:t>
      </w:r>
      <w:r w:rsidR="00F94506" w:rsidRPr="00F94506">
        <w:rPr>
          <w:rFonts w:ascii="Times New Roman" w:hAnsi="Times New Roman" w:cs="Times New Roman"/>
          <w:sz w:val="24"/>
          <w:szCs w:val="24"/>
          <w:lang w:val="ro-RO"/>
        </w:rPr>
        <w:t xml:space="preserve"> (sărăcia absolută și relativă a gospodăriilor),</w:t>
      </w:r>
    </w:p>
    <w:p w:rsidR="00AC5958" w:rsidRPr="001F405E" w:rsidRDefault="00AC5958" w:rsidP="001F405E">
      <w:pPr>
        <w:spacing w:after="0" w:line="240" w:lineRule="auto"/>
        <w:jc w:val="both"/>
        <w:rPr>
          <w:rFonts w:ascii="Times New Roman" w:hAnsi="Times New Roman" w:cs="Times New Roman"/>
          <w:sz w:val="24"/>
          <w:szCs w:val="24"/>
        </w:rPr>
      </w:pPr>
      <w:r w:rsidRPr="00874FEA">
        <w:rPr>
          <w:rFonts w:ascii="Times New Roman" w:hAnsi="Times New Roman" w:cs="Times New Roman"/>
          <w:b/>
          <w:sz w:val="24"/>
          <w:szCs w:val="24"/>
          <w:lang w:val="ro-RO"/>
        </w:rPr>
        <w:t>-</w:t>
      </w:r>
      <w:r w:rsidRPr="00874FEA">
        <w:rPr>
          <w:rFonts w:ascii="Times New Roman" w:hAnsi="Times New Roman" w:cs="Times New Roman"/>
          <w:sz w:val="24"/>
          <w:szCs w:val="24"/>
          <w:lang w:val="ro-RO"/>
        </w:rPr>
        <w:t xml:space="preserve"> </w:t>
      </w:r>
      <w:r w:rsidR="00874FEA" w:rsidRPr="00874FEA">
        <w:rPr>
          <w:rFonts w:ascii="Times New Roman" w:hAnsi="Times New Roman" w:cs="Times New Roman"/>
          <w:sz w:val="24"/>
          <w:szCs w:val="24"/>
          <w:lang w:val="ro-RO"/>
        </w:rPr>
        <w:t>pol</w:t>
      </w:r>
      <w:r w:rsidR="00874FEA">
        <w:rPr>
          <w:rFonts w:ascii="Times New Roman" w:hAnsi="Times New Roman" w:cs="Times New Roman"/>
          <w:sz w:val="24"/>
          <w:szCs w:val="24"/>
          <w:lang w:val="ro-RO"/>
        </w:rPr>
        <w:t>itici eronate de creditare promovate de bănci (acordarea de credite în valute exotice, expunere pe anumite domenii riscante</w:t>
      </w:r>
      <w:r w:rsidR="009205E8">
        <w:rPr>
          <w:rFonts w:ascii="Times New Roman" w:hAnsi="Times New Roman" w:cs="Times New Roman"/>
          <w:sz w:val="24"/>
          <w:szCs w:val="24"/>
          <w:lang w:val="ro-RO"/>
        </w:rPr>
        <w:t>, dorința de câștig prin acordarea de credite cu dobânzi exagerat de mari</w:t>
      </w:r>
      <w:r w:rsidR="00874FEA">
        <w:rPr>
          <w:rFonts w:ascii="Times New Roman" w:hAnsi="Times New Roman" w:cs="Times New Roman"/>
          <w:sz w:val="24"/>
          <w:szCs w:val="24"/>
          <w:lang w:val="ro-RO"/>
        </w:rPr>
        <w:t>)</w:t>
      </w:r>
      <w:r w:rsidR="001F405E">
        <w:rPr>
          <w:rFonts w:ascii="Times New Roman" w:hAnsi="Times New Roman" w:cs="Times New Roman"/>
          <w:sz w:val="24"/>
          <w:szCs w:val="24"/>
          <w:lang w:val="ro-RO"/>
        </w:rPr>
        <w:t>; în anul 2017 c</w:t>
      </w:r>
      <w:r w:rsidR="001F405E" w:rsidRPr="006D3B0C">
        <w:rPr>
          <w:rFonts w:ascii="Times New Roman" w:hAnsi="Times New Roman" w:cs="Times New Roman"/>
          <w:sz w:val="24"/>
          <w:szCs w:val="24"/>
        </w:rPr>
        <w:t>inci instituți</w:t>
      </w:r>
      <w:r w:rsidR="001F405E">
        <w:rPr>
          <w:rFonts w:ascii="Times New Roman" w:hAnsi="Times New Roman" w:cs="Times New Roman"/>
          <w:sz w:val="24"/>
          <w:szCs w:val="24"/>
        </w:rPr>
        <w:t xml:space="preserve">i de credit cumulează 70 % din volumul </w:t>
      </w:r>
      <w:r w:rsidR="001F405E" w:rsidRPr="006D3B0C">
        <w:rPr>
          <w:rFonts w:ascii="Times New Roman" w:hAnsi="Times New Roman" w:cs="Times New Roman"/>
          <w:sz w:val="24"/>
          <w:szCs w:val="24"/>
        </w:rPr>
        <w:t>credit</w:t>
      </w:r>
      <w:r w:rsidR="001F405E">
        <w:rPr>
          <w:rFonts w:ascii="Times New Roman" w:hAnsi="Times New Roman" w:cs="Times New Roman"/>
          <w:sz w:val="24"/>
          <w:szCs w:val="24"/>
        </w:rPr>
        <w:t>elor scoase în afara bilanțului</w:t>
      </w:r>
      <w:r w:rsidR="00874FEA">
        <w:rPr>
          <w:rFonts w:ascii="Times New Roman" w:hAnsi="Times New Roman" w:cs="Times New Roman"/>
          <w:sz w:val="24"/>
          <w:szCs w:val="24"/>
          <w:lang w:val="ro-RO"/>
        </w:rPr>
        <w:t>,</w:t>
      </w:r>
      <w:r w:rsidR="001F405E">
        <w:rPr>
          <w:rFonts w:ascii="Times New Roman" w:hAnsi="Times New Roman" w:cs="Times New Roman"/>
          <w:sz w:val="24"/>
          <w:szCs w:val="24"/>
        </w:rPr>
        <w:t>[14]</w:t>
      </w:r>
    </w:p>
    <w:p w:rsidR="00874FEA" w:rsidRDefault="00874FEA" w:rsidP="00CA60B1">
      <w:pPr>
        <w:autoSpaceDE w:val="0"/>
        <w:autoSpaceDN w:val="0"/>
        <w:adjustRightInd w:val="0"/>
        <w:spacing w:after="0" w:line="240" w:lineRule="auto"/>
        <w:jc w:val="both"/>
        <w:rPr>
          <w:rFonts w:ascii="Times New Roman" w:hAnsi="Times New Roman" w:cs="Times New Roman"/>
          <w:sz w:val="24"/>
          <w:szCs w:val="24"/>
          <w:lang w:val="ro-RO"/>
        </w:rPr>
      </w:pPr>
      <w:r w:rsidRPr="00874FEA">
        <w:rPr>
          <w:rFonts w:ascii="Times New Roman" w:hAnsi="Times New Roman" w:cs="Times New Roman"/>
          <w:b/>
          <w:sz w:val="24"/>
          <w:szCs w:val="24"/>
          <w:lang w:val="ro-RO"/>
        </w:rPr>
        <w:t>-</w:t>
      </w:r>
      <w:r>
        <w:rPr>
          <w:rFonts w:ascii="Times New Roman" w:hAnsi="Times New Roman" w:cs="Times New Roman"/>
          <w:b/>
          <w:sz w:val="24"/>
          <w:szCs w:val="24"/>
          <w:lang w:val="ro-RO"/>
        </w:rPr>
        <w:t xml:space="preserve"> </w:t>
      </w:r>
      <w:r w:rsidRPr="00874FEA">
        <w:rPr>
          <w:rFonts w:ascii="Times New Roman" w:hAnsi="Times New Roman" w:cs="Times New Roman"/>
          <w:sz w:val="24"/>
          <w:szCs w:val="24"/>
          <w:lang w:val="ro-RO"/>
        </w:rPr>
        <w:t>carențe în pregătirea personalului bancar</w:t>
      </w:r>
      <w:r w:rsidR="00F94506">
        <w:rPr>
          <w:rFonts w:ascii="Times New Roman" w:hAnsi="Times New Roman" w:cs="Times New Roman"/>
          <w:sz w:val="24"/>
          <w:szCs w:val="24"/>
          <w:lang w:val="ro-RO"/>
        </w:rPr>
        <w:t>,</w:t>
      </w:r>
    </w:p>
    <w:p w:rsidR="00F94506" w:rsidRPr="00F94506" w:rsidRDefault="00F94506" w:rsidP="00CA60B1">
      <w:pPr>
        <w:autoSpaceDE w:val="0"/>
        <w:autoSpaceDN w:val="0"/>
        <w:adjustRightInd w:val="0"/>
        <w:spacing w:after="0" w:line="240" w:lineRule="auto"/>
        <w:jc w:val="both"/>
        <w:rPr>
          <w:rFonts w:ascii="Times New Roman" w:hAnsi="Times New Roman" w:cs="Times New Roman"/>
          <w:sz w:val="24"/>
          <w:szCs w:val="24"/>
          <w:lang w:val="ro-RO"/>
        </w:rPr>
      </w:pPr>
      <w:r w:rsidRPr="00F94506">
        <w:rPr>
          <w:rFonts w:ascii="Times New Roman" w:hAnsi="Times New Roman" w:cs="Times New Roman"/>
          <w:b/>
          <w:sz w:val="24"/>
          <w:szCs w:val="24"/>
          <w:lang w:val="ro-RO"/>
        </w:rPr>
        <w:t>-</w:t>
      </w:r>
      <w:r w:rsidRPr="00F94506">
        <w:rPr>
          <w:rFonts w:ascii="Times New Roman" w:hAnsi="Times New Roman" w:cs="Times New Roman"/>
          <w:sz w:val="24"/>
          <w:szCs w:val="24"/>
          <w:lang w:val="ro-RO"/>
        </w:rPr>
        <w:t xml:space="preserve"> </w:t>
      </w:r>
      <w:r w:rsidRPr="00F94506">
        <w:rPr>
          <w:rFonts w:ascii="Times New Roman" w:hAnsi="Times New Roman" w:cs="Times New Roman"/>
          <w:color w:val="000000" w:themeColor="text1"/>
          <w:sz w:val="24"/>
          <w:szCs w:val="24"/>
        </w:rPr>
        <w:t>educația  financiară precară a populației</w:t>
      </w:r>
      <w:r>
        <w:rPr>
          <w:rFonts w:ascii="Times New Roman" w:hAnsi="Times New Roman" w:cs="Times New Roman"/>
          <w:color w:val="000000" w:themeColor="text1"/>
          <w:sz w:val="24"/>
          <w:szCs w:val="24"/>
        </w:rPr>
        <w:t>.</w:t>
      </w:r>
    </w:p>
    <w:p w:rsidR="0082774D" w:rsidRDefault="00CA60B1" w:rsidP="00CA60B1">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sidRPr="00A05C92">
        <w:rPr>
          <w:rFonts w:ascii="Times New Roman" w:hAnsi="Times New Roman" w:cs="Times New Roman"/>
          <w:b/>
          <w:color w:val="000000" w:themeColor="text1"/>
          <w:sz w:val="24"/>
          <w:szCs w:val="24"/>
          <w:lang w:val="ro-RO"/>
        </w:rPr>
        <w:tab/>
      </w:r>
      <w:r w:rsidRPr="00A05C92">
        <w:rPr>
          <w:rFonts w:ascii="Times New Roman" w:hAnsi="Times New Roman" w:cs="Times New Roman"/>
          <w:color w:val="000000" w:themeColor="text1"/>
          <w:sz w:val="24"/>
          <w:szCs w:val="24"/>
          <w:lang w:val="ro-RO"/>
        </w:rPr>
        <w:t>Pornind de la acest lucru</w:t>
      </w:r>
      <w:r w:rsidR="00F8460C">
        <w:rPr>
          <w:rFonts w:ascii="Times New Roman" w:hAnsi="Times New Roman" w:cs="Times New Roman"/>
          <w:color w:val="000000" w:themeColor="text1"/>
          <w:sz w:val="24"/>
          <w:szCs w:val="24"/>
          <w:lang w:val="ro-RO"/>
        </w:rPr>
        <w:t>, în tabelul de mai jos am identificat evoluția creditelor neperformante în perioada 2010</w:t>
      </w:r>
      <w:r w:rsidR="00F8460C" w:rsidRPr="00F8460C">
        <w:rPr>
          <w:rFonts w:ascii="Times New Roman" w:hAnsi="Times New Roman" w:cs="Times New Roman"/>
          <w:b/>
          <w:color w:val="000000" w:themeColor="text1"/>
          <w:sz w:val="24"/>
          <w:szCs w:val="24"/>
          <w:lang w:val="ro-RO"/>
        </w:rPr>
        <w:t>-</w:t>
      </w:r>
      <w:r w:rsidR="00F8460C" w:rsidRPr="00F8460C">
        <w:rPr>
          <w:rFonts w:ascii="Times New Roman" w:hAnsi="Times New Roman" w:cs="Times New Roman"/>
          <w:color w:val="000000" w:themeColor="text1"/>
          <w:sz w:val="24"/>
          <w:szCs w:val="24"/>
          <w:lang w:val="ro-RO"/>
        </w:rPr>
        <w:t>2</w:t>
      </w:r>
      <w:r w:rsidR="00F8460C">
        <w:rPr>
          <w:rFonts w:ascii="Times New Roman" w:hAnsi="Times New Roman" w:cs="Times New Roman"/>
          <w:color w:val="000000" w:themeColor="text1"/>
          <w:sz w:val="24"/>
          <w:szCs w:val="24"/>
          <w:lang w:val="ro-RO"/>
        </w:rPr>
        <w:t>017 precum și a unor indicatori macroeconomici.</w:t>
      </w:r>
    </w:p>
    <w:p w:rsidR="00CC3559" w:rsidRPr="0082774D" w:rsidRDefault="0082774D" w:rsidP="00CA60B1">
      <w:pPr>
        <w:autoSpaceDE w:val="0"/>
        <w:autoSpaceDN w:val="0"/>
        <w:adjustRightInd w:val="0"/>
        <w:spacing w:after="0" w:line="240" w:lineRule="auto"/>
        <w:jc w:val="both"/>
        <w:rPr>
          <w:rFonts w:ascii="Times New Roman" w:hAnsi="Times New Roman" w:cs="Times New Roman"/>
          <w:b/>
          <w:color w:val="000000" w:themeColor="text1"/>
          <w:sz w:val="24"/>
          <w:szCs w:val="24"/>
          <w:lang w:val="ro-RO"/>
        </w:rPr>
      </w:pPr>
      <w:r>
        <w:rPr>
          <w:rFonts w:ascii="Times New Roman" w:hAnsi="Times New Roman" w:cs="Times New Roman"/>
          <w:color w:val="000000" w:themeColor="text1"/>
          <w:sz w:val="24"/>
          <w:szCs w:val="24"/>
          <w:lang w:val="ro-RO"/>
        </w:rPr>
        <w:tab/>
      </w:r>
      <w:r w:rsidR="00F8460C" w:rsidRPr="0082774D">
        <w:rPr>
          <w:rFonts w:ascii="Times New Roman" w:hAnsi="Times New Roman" w:cs="Times New Roman"/>
          <w:b/>
          <w:color w:val="000000" w:themeColor="text1"/>
          <w:sz w:val="24"/>
          <w:szCs w:val="24"/>
          <w:lang w:val="ro-RO"/>
        </w:rPr>
        <w:t xml:space="preserve">Analizând evoluția acestori indicatori putem demonstra dacă s-au identificat corect cauzele înregistrării de credite neperformante. </w:t>
      </w:r>
      <w:r w:rsidR="00CC3559" w:rsidRPr="0082774D">
        <w:rPr>
          <w:rFonts w:ascii="Times New Roman" w:hAnsi="Times New Roman" w:cs="Times New Roman"/>
          <w:b/>
          <w:color w:val="000000" w:themeColor="text1"/>
          <w:sz w:val="24"/>
          <w:szCs w:val="24"/>
          <w:lang w:val="ro-RO"/>
        </w:rPr>
        <w:t xml:space="preserve"> </w:t>
      </w:r>
    </w:p>
    <w:p w:rsidR="00F8460C" w:rsidRPr="00F8460C" w:rsidRDefault="00F8460C" w:rsidP="00F8460C">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b/>
      </w:r>
      <w:r w:rsidRPr="00F8460C">
        <w:rPr>
          <w:rFonts w:ascii="Times New Roman" w:hAnsi="Times New Roman" w:cs="Times New Roman"/>
          <w:color w:val="000000" w:themeColor="text1"/>
          <w:sz w:val="24"/>
          <w:szCs w:val="24"/>
          <w:lang w:val="ro-RO"/>
        </w:rPr>
        <w:t>Sistemul bancar românesc a consemnat perioade cu rezultate finan</w:t>
      </w:r>
      <w:r>
        <w:rPr>
          <w:rFonts w:ascii="Times New Roman" w:hAnsi="Times New Roman" w:cs="Times New Roman"/>
          <w:color w:val="000000" w:themeColor="text1"/>
          <w:sz w:val="24"/>
          <w:szCs w:val="24"/>
          <w:lang w:val="ro-RO"/>
        </w:rPr>
        <w:t>ciare nete pozitive (</w:t>
      </w:r>
      <w:r w:rsidR="0077252B">
        <w:rPr>
          <w:rFonts w:ascii="Times New Roman" w:hAnsi="Times New Roman" w:cs="Times New Roman"/>
          <w:color w:val="000000" w:themeColor="text1"/>
          <w:sz w:val="24"/>
          <w:szCs w:val="24"/>
          <w:lang w:val="ro-RO"/>
        </w:rPr>
        <w:t>2013, 2015–</w:t>
      </w:r>
      <w:r w:rsidRPr="00F8460C">
        <w:rPr>
          <w:rFonts w:ascii="Times New Roman" w:hAnsi="Times New Roman" w:cs="Times New Roman"/>
          <w:color w:val="000000" w:themeColor="text1"/>
          <w:sz w:val="24"/>
          <w:szCs w:val="24"/>
          <w:lang w:val="ro-RO"/>
        </w:rPr>
        <w:t xml:space="preserve">2017), întrerupte de ani cu pierderi, cauzate în principal de mărimea cheltuielilor cu provizioanele, amplificate de reducerea profitabilităţii operaţionale (sau atenuate, în anii cu evoluţii favorabile ale acesteia). </w:t>
      </w:r>
    </w:p>
    <w:p w:rsidR="00F8460C" w:rsidRPr="00A05C92" w:rsidRDefault="00F8460C" w:rsidP="00F8460C">
      <w:pPr>
        <w:autoSpaceDE w:val="0"/>
        <w:autoSpaceDN w:val="0"/>
        <w:adjustRightInd w:val="0"/>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b/>
      </w:r>
    </w:p>
    <w:p w:rsidR="00243D47" w:rsidRPr="00530628" w:rsidRDefault="00530628" w:rsidP="00243D47">
      <w:pPr>
        <w:widowControl w:val="0"/>
        <w:spacing w:before="120" w:after="0" w:line="240" w:lineRule="auto"/>
        <w:jc w:val="center"/>
        <w:rPr>
          <w:rFonts w:ascii="Times New Roman" w:eastAsia="Times New Roman" w:hAnsi="Times New Roman" w:cs="Times New Roman"/>
          <w:b/>
          <w:bCs/>
          <w:sz w:val="24"/>
          <w:szCs w:val="24"/>
          <w:lang w:val="ro-RO"/>
        </w:rPr>
      </w:pPr>
      <w:bookmarkStart w:id="1" w:name="_Toc455560969"/>
      <w:bookmarkStart w:id="2" w:name="_Toc455653511"/>
      <w:r w:rsidRPr="00530628">
        <w:rPr>
          <w:rFonts w:ascii="Times New Roman" w:eastAsia="Times New Roman" w:hAnsi="Times New Roman" w:cs="Times New Roman"/>
          <w:b/>
          <w:bCs/>
          <w:sz w:val="24"/>
          <w:szCs w:val="24"/>
          <w:lang w:val="ro-RO"/>
        </w:rPr>
        <w:lastRenderedPageBreak/>
        <w:t>Tabelul nr.3</w:t>
      </w:r>
      <w:r w:rsidR="00243D47" w:rsidRPr="00530628">
        <w:rPr>
          <w:rFonts w:ascii="Times New Roman" w:eastAsia="Times New Roman" w:hAnsi="Times New Roman" w:cs="Times New Roman"/>
          <w:b/>
          <w:bCs/>
          <w:sz w:val="24"/>
          <w:szCs w:val="24"/>
          <w:lang w:val="ro-RO"/>
        </w:rPr>
        <w:t xml:space="preserve"> -</w:t>
      </w:r>
      <w:r w:rsidR="00243D47" w:rsidRPr="00530628">
        <w:rPr>
          <w:rFonts w:ascii="Times New Roman" w:eastAsia="Times New Roman" w:hAnsi="Times New Roman" w:cs="Times New Roman"/>
          <w:bCs/>
          <w:sz w:val="24"/>
          <w:szCs w:val="24"/>
          <w:lang w:val="ro-RO"/>
        </w:rPr>
        <w:t xml:space="preserve"> </w:t>
      </w:r>
      <w:r w:rsidR="00243D47" w:rsidRPr="00530628">
        <w:rPr>
          <w:rFonts w:ascii="Times New Roman" w:eastAsia="Times New Roman" w:hAnsi="Times New Roman" w:cs="Times New Roman"/>
          <w:b/>
          <w:bCs/>
          <w:sz w:val="24"/>
          <w:szCs w:val="24"/>
          <w:lang w:val="ro-RO"/>
        </w:rPr>
        <w:t xml:space="preserve">Evoluţia </w:t>
      </w:r>
      <w:bookmarkEnd w:id="1"/>
      <w:bookmarkEnd w:id="2"/>
      <w:r>
        <w:rPr>
          <w:rFonts w:ascii="Times New Roman" w:eastAsia="Times New Roman" w:hAnsi="Times New Roman" w:cs="Times New Roman"/>
          <w:b/>
          <w:bCs/>
          <w:sz w:val="24"/>
          <w:szCs w:val="24"/>
          <w:lang w:val="ro-RO"/>
        </w:rPr>
        <w:t>unor indicatori bancari și a PIB în perioada 2010-2017</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487"/>
        <w:gridCol w:w="856"/>
        <w:gridCol w:w="1080"/>
        <w:gridCol w:w="810"/>
        <w:gridCol w:w="1350"/>
        <w:gridCol w:w="1080"/>
        <w:gridCol w:w="900"/>
        <w:gridCol w:w="1002"/>
      </w:tblGrid>
      <w:tr w:rsidR="00CB74EF" w:rsidRPr="00530628" w:rsidTr="003E768C">
        <w:trPr>
          <w:trHeight w:val="1840"/>
          <w:jc w:val="center"/>
        </w:trPr>
        <w:tc>
          <w:tcPr>
            <w:tcW w:w="735" w:type="dxa"/>
            <w:shd w:val="clear" w:color="auto" w:fill="C4BC96" w:themeFill="background2" w:themeFillShade="BF"/>
            <w:noWrap/>
            <w:vAlign w:val="center"/>
          </w:tcPr>
          <w:p w:rsidR="00CB74EF" w:rsidRPr="00530628"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530628">
              <w:rPr>
                <w:rFonts w:ascii="Times New Roman" w:eastAsia="Times New Roman" w:hAnsi="Times New Roman" w:cs="Times New Roman"/>
                <w:b/>
                <w:bCs/>
                <w:sz w:val="20"/>
                <w:szCs w:val="20"/>
                <w:lang w:val="ro-RO"/>
              </w:rPr>
              <w:t>Ani</w:t>
            </w:r>
          </w:p>
        </w:tc>
        <w:tc>
          <w:tcPr>
            <w:tcW w:w="1487" w:type="dxa"/>
            <w:shd w:val="clear" w:color="auto" w:fill="C4BC96" w:themeFill="background2" w:themeFillShade="BF"/>
            <w:vAlign w:val="center"/>
          </w:tcPr>
          <w:p w:rsidR="00CB74EF" w:rsidRPr="00530628" w:rsidRDefault="00CB74EF" w:rsidP="00530628">
            <w:pPr>
              <w:widowControl w:val="0"/>
              <w:spacing w:after="0" w:line="240" w:lineRule="auto"/>
              <w:jc w:val="center"/>
              <w:rPr>
                <w:rFonts w:ascii="Times New Roman" w:hAnsi="Times New Roman" w:cs="Times New Roman"/>
                <w:b/>
                <w:sz w:val="20"/>
                <w:szCs w:val="20"/>
                <w:lang w:val="ro-RO"/>
              </w:rPr>
            </w:pPr>
            <w:r w:rsidRPr="00530628">
              <w:rPr>
                <w:rFonts w:ascii="Times New Roman" w:hAnsi="Times New Roman" w:cs="Times New Roman"/>
                <w:b/>
                <w:sz w:val="20"/>
                <w:szCs w:val="20"/>
                <w:lang w:val="ro-RO"/>
              </w:rPr>
              <w:t xml:space="preserve">Credite neperformante </w:t>
            </w:r>
            <w:r w:rsidRPr="00530628">
              <w:rPr>
                <w:rFonts w:ascii="Times New Roman" w:hAnsi="Times New Roman" w:cs="Times New Roman"/>
                <w:sz w:val="20"/>
                <w:szCs w:val="20"/>
                <w:lang w:val="ro-RO"/>
              </w:rPr>
              <w:t>(%)</w:t>
            </w:r>
          </w:p>
        </w:tc>
        <w:tc>
          <w:tcPr>
            <w:tcW w:w="856" w:type="dxa"/>
            <w:shd w:val="clear" w:color="auto" w:fill="C4BC96" w:themeFill="background2" w:themeFillShade="BF"/>
            <w:vAlign w:val="center"/>
          </w:tcPr>
          <w:p w:rsidR="00CB74EF" w:rsidRPr="00530628"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530628">
              <w:rPr>
                <w:rFonts w:ascii="Times New Roman" w:hAnsi="Times New Roman" w:cs="Times New Roman"/>
                <w:b/>
                <w:sz w:val="20"/>
                <w:szCs w:val="20"/>
                <w:lang w:val="ro-RO"/>
              </w:rPr>
              <w:t xml:space="preserve">Profit </w:t>
            </w:r>
            <w:r w:rsidRPr="00530628">
              <w:rPr>
                <w:rFonts w:ascii="Times New Roman" w:hAnsi="Times New Roman" w:cs="Times New Roman"/>
                <w:sz w:val="20"/>
                <w:szCs w:val="20"/>
                <w:lang w:val="ro-RO"/>
              </w:rPr>
              <w:t>(milioane lei)</w:t>
            </w:r>
          </w:p>
        </w:tc>
        <w:tc>
          <w:tcPr>
            <w:tcW w:w="1080" w:type="dxa"/>
            <w:shd w:val="clear" w:color="auto" w:fill="C4BC96" w:themeFill="background2" w:themeFillShade="BF"/>
            <w:vAlign w:val="center"/>
          </w:tcPr>
          <w:p w:rsidR="00CB74EF" w:rsidRPr="00530628" w:rsidRDefault="00CB74EF" w:rsidP="00530628">
            <w:pPr>
              <w:spacing w:after="0" w:line="240" w:lineRule="auto"/>
              <w:jc w:val="center"/>
              <w:rPr>
                <w:rFonts w:ascii="Times New Roman" w:eastAsia="Times New Roman" w:hAnsi="Times New Roman" w:cs="Times New Roman"/>
                <w:b/>
                <w:bCs/>
                <w:sz w:val="20"/>
                <w:szCs w:val="20"/>
                <w:lang w:val="ro-RO"/>
              </w:rPr>
            </w:pPr>
            <w:r w:rsidRPr="00530628">
              <w:rPr>
                <w:rFonts w:ascii="Times New Roman" w:eastAsia="Times New Roman" w:hAnsi="Times New Roman" w:cs="Times New Roman"/>
                <w:b/>
                <w:bCs/>
                <w:sz w:val="20"/>
                <w:szCs w:val="20"/>
                <w:lang w:val="ro-RO"/>
              </w:rPr>
              <w:t xml:space="preserve">Evoluția creditului acordat sectorului privat </w:t>
            </w:r>
            <w:r w:rsidRPr="00530628">
              <w:rPr>
                <w:rFonts w:ascii="Times New Roman" w:eastAsia="Times New Roman" w:hAnsi="Times New Roman" w:cs="Times New Roman"/>
                <w:bCs/>
                <w:sz w:val="20"/>
                <w:szCs w:val="20"/>
                <w:lang w:val="ro-RO"/>
              </w:rPr>
              <w:t>(% față de anul anterior)</w:t>
            </w:r>
          </w:p>
        </w:tc>
        <w:tc>
          <w:tcPr>
            <w:tcW w:w="810" w:type="dxa"/>
            <w:shd w:val="clear" w:color="auto" w:fill="C4BC96" w:themeFill="background2" w:themeFillShade="BF"/>
            <w:vAlign w:val="center"/>
          </w:tcPr>
          <w:p w:rsidR="00CB74EF" w:rsidRPr="00530628" w:rsidRDefault="00CB74EF" w:rsidP="00530628">
            <w:pPr>
              <w:spacing w:after="0" w:line="240" w:lineRule="auto"/>
              <w:jc w:val="center"/>
              <w:rPr>
                <w:rFonts w:ascii="Times New Roman" w:eastAsia="Times New Roman" w:hAnsi="Times New Roman" w:cs="Times New Roman"/>
                <w:b/>
                <w:bCs/>
                <w:sz w:val="20"/>
                <w:szCs w:val="20"/>
                <w:lang w:val="ro-RO"/>
              </w:rPr>
            </w:pPr>
            <w:r w:rsidRPr="00530628">
              <w:rPr>
                <w:rFonts w:ascii="Times New Roman" w:eastAsia="Times New Roman" w:hAnsi="Times New Roman" w:cs="Times New Roman"/>
                <w:b/>
                <w:bCs/>
                <w:sz w:val="20"/>
                <w:szCs w:val="20"/>
                <w:lang w:val="ro-RO"/>
              </w:rPr>
              <w:t xml:space="preserve">Credite în valută </w:t>
            </w:r>
            <w:r w:rsidRPr="00530628">
              <w:rPr>
                <w:rFonts w:ascii="Times New Roman" w:eastAsia="Times New Roman" w:hAnsi="Times New Roman" w:cs="Times New Roman"/>
                <w:bCs/>
                <w:sz w:val="20"/>
                <w:szCs w:val="20"/>
                <w:lang w:val="ro-RO"/>
              </w:rPr>
              <w:t>(% în total credit sector privat)</w:t>
            </w:r>
          </w:p>
        </w:tc>
        <w:tc>
          <w:tcPr>
            <w:tcW w:w="1350" w:type="dxa"/>
            <w:shd w:val="clear" w:color="auto" w:fill="C4BC96" w:themeFill="background2" w:themeFillShade="BF"/>
            <w:noWrap/>
            <w:vAlign w:val="center"/>
          </w:tcPr>
          <w:p w:rsidR="00CB74EF" w:rsidRPr="00530628"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530628">
              <w:rPr>
                <w:rFonts w:ascii="Times New Roman" w:eastAsia="Times New Roman" w:hAnsi="Times New Roman" w:cs="Times New Roman"/>
                <w:b/>
                <w:bCs/>
                <w:sz w:val="20"/>
                <w:szCs w:val="20"/>
                <w:lang w:val="ro-RO"/>
              </w:rPr>
              <w:t xml:space="preserve">Credit  pe termen lung acordat sectorului privat </w:t>
            </w:r>
            <w:r w:rsidRPr="00530628">
              <w:rPr>
                <w:rFonts w:ascii="Times New Roman" w:eastAsia="Times New Roman" w:hAnsi="Times New Roman" w:cs="Times New Roman"/>
                <w:bCs/>
                <w:sz w:val="20"/>
                <w:szCs w:val="20"/>
                <w:lang w:val="ro-RO"/>
              </w:rPr>
              <w:t>(% în total credit privat</w:t>
            </w:r>
            <w:r w:rsidRPr="00530628">
              <w:rPr>
                <w:rFonts w:ascii="Times New Roman" w:eastAsia="Times New Roman" w:hAnsi="Times New Roman" w:cs="Times New Roman"/>
                <w:b/>
                <w:bCs/>
                <w:sz w:val="20"/>
                <w:szCs w:val="20"/>
                <w:lang w:val="ro-RO"/>
              </w:rPr>
              <w:t>)</w:t>
            </w:r>
          </w:p>
        </w:tc>
        <w:tc>
          <w:tcPr>
            <w:tcW w:w="1080" w:type="dxa"/>
            <w:shd w:val="clear" w:color="auto" w:fill="C4BC96" w:themeFill="background2" w:themeFillShade="BF"/>
            <w:vAlign w:val="center"/>
          </w:tcPr>
          <w:p w:rsidR="00CB74EF" w:rsidRPr="00530628"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530628">
              <w:rPr>
                <w:rFonts w:ascii="Times New Roman" w:eastAsia="Times New Roman" w:hAnsi="Times New Roman" w:cs="Times New Roman"/>
                <w:b/>
                <w:bCs/>
                <w:sz w:val="20"/>
                <w:szCs w:val="20"/>
                <w:lang w:val="ro-RO"/>
              </w:rPr>
              <w:t>Ponderea îndatorării totale în PIB</w:t>
            </w:r>
            <w:r>
              <w:rPr>
                <w:rFonts w:ascii="Times New Roman" w:eastAsia="Times New Roman" w:hAnsi="Times New Roman" w:cs="Times New Roman"/>
                <w:b/>
                <w:bCs/>
                <w:sz w:val="20"/>
                <w:szCs w:val="20"/>
                <w:lang w:val="ro-RO"/>
              </w:rPr>
              <w:t xml:space="preserve"> </w:t>
            </w:r>
            <w:r w:rsidRPr="00530628">
              <w:rPr>
                <w:rFonts w:ascii="Times New Roman" w:eastAsia="Times New Roman" w:hAnsi="Times New Roman" w:cs="Times New Roman"/>
                <w:bCs/>
                <w:sz w:val="20"/>
                <w:szCs w:val="20"/>
                <w:lang w:val="ro-RO"/>
              </w:rPr>
              <w:t>(%)</w:t>
            </w:r>
          </w:p>
        </w:tc>
        <w:tc>
          <w:tcPr>
            <w:tcW w:w="900" w:type="dxa"/>
            <w:shd w:val="clear" w:color="auto" w:fill="C4BC96" w:themeFill="background2" w:themeFillShade="BF"/>
            <w:vAlign w:val="center"/>
          </w:tcPr>
          <w:p w:rsidR="00CB74EF" w:rsidRPr="00530628"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530628">
              <w:rPr>
                <w:rFonts w:ascii="Times New Roman" w:eastAsia="Times New Roman" w:hAnsi="Times New Roman" w:cs="Times New Roman"/>
                <w:b/>
                <w:bCs/>
                <w:sz w:val="20"/>
                <w:szCs w:val="20"/>
                <w:lang w:val="ro-RO"/>
              </w:rPr>
              <w:t xml:space="preserve">Evoluția PIB </w:t>
            </w:r>
            <w:r w:rsidRPr="00530628">
              <w:rPr>
                <w:rFonts w:ascii="Times New Roman" w:eastAsia="Times New Roman" w:hAnsi="Times New Roman" w:cs="Times New Roman"/>
                <w:bCs/>
                <w:sz w:val="20"/>
                <w:szCs w:val="20"/>
                <w:lang w:val="ro-RO"/>
              </w:rPr>
              <w:t>(%)</w:t>
            </w:r>
          </w:p>
        </w:tc>
        <w:tc>
          <w:tcPr>
            <w:tcW w:w="1002" w:type="dxa"/>
            <w:shd w:val="clear" w:color="auto" w:fill="C4BC96" w:themeFill="background2" w:themeFillShade="BF"/>
            <w:vAlign w:val="center"/>
          </w:tcPr>
          <w:p w:rsidR="00CB74EF" w:rsidRPr="00CB74EF" w:rsidRDefault="00CB74EF" w:rsidP="003E768C">
            <w:pPr>
              <w:widowControl w:val="0"/>
              <w:spacing w:after="0" w:line="240" w:lineRule="auto"/>
              <w:jc w:val="center"/>
              <w:rPr>
                <w:rFonts w:ascii="Times New Roman" w:eastAsia="Times New Roman" w:hAnsi="Times New Roman" w:cs="Times New Roman"/>
                <w:b/>
                <w:bCs/>
                <w:sz w:val="20"/>
                <w:szCs w:val="20"/>
                <w:lang w:val="ro-RO"/>
              </w:rPr>
            </w:pPr>
            <w:r w:rsidRPr="00CB74EF">
              <w:rPr>
                <w:rFonts w:ascii="Times New Roman" w:hAnsi="Times New Roman" w:cs="Times New Roman"/>
                <w:b/>
                <w:sz w:val="20"/>
                <w:szCs w:val="20"/>
              </w:rPr>
              <w:t xml:space="preserve">Ecart </w:t>
            </w:r>
            <w:r w:rsidRPr="00A80135">
              <w:rPr>
                <w:rFonts w:ascii="Times New Roman" w:hAnsi="Times New Roman" w:cs="Times New Roman"/>
                <w:b/>
                <w:sz w:val="16"/>
                <w:szCs w:val="16"/>
              </w:rPr>
              <w:t>RO</w:t>
            </w:r>
            <w:r w:rsidR="00A80135" w:rsidRPr="00A80135">
              <w:rPr>
                <w:rFonts w:ascii="Times New Roman" w:hAnsi="Times New Roman" w:cs="Times New Roman"/>
                <w:b/>
                <w:sz w:val="16"/>
                <w:szCs w:val="16"/>
              </w:rPr>
              <w:t>BOR- EURIBOR</w:t>
            </w:r>
          </w:p>
        </w:tc>
      </w:tr>
      <w:tr w:rsidR="00CB74EF" w:rsidRPr="00243D47" w:rsidTr="00CB74EF">
        <w:trPr>
          <w:trHeight w:val="250"/>
          <w:jc w:val="center"/>
        </w:trPr>
        <w:tc>
          <w:tcPr>
            <w:tcW w:w="735" w:type="dxa"/>
            <w:shd w:val="clear" w:color="auto" w:fill="FFFFFF" w:themeFill="background1"/>
            <w:noWrap/>
          </w:tcPr>
          <w:p w:rsidR="00CB74EF" w:rsidRPr="00992F24"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992F24">
              <w:rPr>
                <w:rFonts w:ascii="Times New Roman" w:eastAsia="Times New Roman" w:hAnsi="Times New Roman" w:cs="Times New Roman"/>
                <w:b/>
                <w:bCs/>
                <w:sz w:val="20"/>
                <w:szCs w:val="20"/>
                <w:lang w:val="ro-RO"/>
              </w:rPr>
              <w:t>2010</w:t>
            </w:r>
          </w:p>
        </w:tc>
        <w:tc>
          <w:tcPr>
            <w:tcW w:w="1487" w:type="dxa"/>
            <w:shd w:val="clear" w:color="auto" w:fill="FFFFFF" w:themeFill="background1"/>
          </w:tcPr>
          <w:p w:rsidR="00CB74EF" w:rsidRPr="00992F24" w:rsidRDefault="00CB74EF" w:rsidP="00240933">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hAnsi="Times New Roman" w:cs="Times New Roman"/>
                <w:sz w:val="20"/>
                <w:szCs w:val="20"/>
                <w:lang w:val="ro-RO"/>
              </w:rPr>
              <w:t>15,0</w:t>
            </w:r>
          </w:p>
        </w:tc>
        <w:tc>
          <w:tcPr>
            <w:tcW w:w="856" w:type="dxa"/>
            <w:shd w:val="clear" w:color="auto" w:fill="FFFFFF" w:themeFill="background1"/>
          </w:tcPr>
          <w:p w:rsidR="00CB74EF" w:rsidRPr="00992F24" w:rsidRDefault="00CB74EF" w:rsidP="00240933">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eastAsia="Times New Roman" w:hAnsi="Times New Roman" w:cs="Times New Roman"/>
                <w:sz w:val="20"/>
                <w:szCs w:val="20"/>
                <w:lang w:val="ro-RO"/>
              </w:rPr>
              <w:t>-516</w:t>
            </w:r>
          </w:p>
        </w:tc>
        <w:tc>
          <w:tcPr>
            <w:tcW w:w="1080" w:type="dxa"/>
            <w:shd w:val="clear" w:color="auto" w:fill="FFFFFF" w:themeFill="background1"/>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n/a</w:t>
            </w:r>
          </w:p>
        </w:tc>
        <w:tc>
          <w:tcPr>
            <w:tcW w:w="810" w:type="dxa"/>
            <w:shd w:val="clear" w:color="auto" w:fill="FFFFFF" w:themeFill="background1"/>
          </w:tcPr>
          <w:p w:rsidR="00CB74EF" w:rsidRPr="00992F24"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63,0</w:t>
            </w:r>
          </w:p>
        </w:tc>
        <w:tc>
          <w:tcPr>
            <w:tcW w:w="1350" w:type="dxa"/>
            <w:shd w:val="clear" w:color="auto" w:fill="FFFFFF" w:themeFill="background1"/>
            <w:noWrap/>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eastAsia="Times New Roman" w:hAnsi="Times New Roman" w:cs="Times New Roman"/>
                <w:sz w:val="20"/>
                <w:szCs w:val="20"/>
                <w:lang w:val="ro-RO"/>
              </w:rPr>
              <w:t>57,70</w:t>
            </w:r>
          </w:p>
        </w:tc>
        <w:tc>
          <w:tcPr>
            <w:tcW w:w="1080" w:type="dxa"/>
            <w:shd w:val="clear" w:color="auto" w:fill="FFFFFF" w:themeFill="background1"/>
          </w:tcPr>
          <w:p w:rsidR="00CB74EF" w:rsidRPr="00992F24" w:rsidRDefault="00CB74EF" w:rsidP="00282C65">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60,97</w:t>
            </w:r>
          </w:p>
        </w:tc>
        <w:tc>
          <w:tcPr>
            <w:tcW w:w="900" w:type="dxa"/>
            <w:shd w:val="clear" w:color="auto" w:fill="FFFFFF" w:themeFill="background1"/>
          </w:tcPr>
          <w:p w:rsidR="00CB74EF" w:rsidRDefault="00CB74EF" w:rsidP="00282C65">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-1,1</w:t>
            </w:r>
          </w:p>
        </w:tc>
        <w:tc>
          <w:tcPr>
            <w:tcW w:w="1002" w:type="dxa"/>
            <w:shd w:val="clear" w:color="auto" w:fill="FFFFFF" w:themeFill="background1"/>
          </w:tcPr>
          <w:p w:rsidR="00CB74EF" w:rsidRDefault="00E054E0" w:rsidP="00282C65">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n/a</w:t>
            </w:r>
          </w:p>
        </w:tc>
      </w:tr>
      <w:tr w:rsidR="00CB74EF" w:rsidRPr="00243D47" w:rsidTr="00CB74EF">
        <w:trPr>
          <w:trHeight w:val="250"/>
          <w:jc w:val="center"/>
        </w:trPr>
        <w:tc>
          <w:tcPr>
            <w:tcW w:w="735" w:type="dxa"/>
            <w:shd w:val="clear" w:color="auto" w:fill="DDD9C3" w:themeFill="background2" w:themeFillShade="E6"/>
            <w:noWrap/>
          </w:tcPr>
          <w:p w:rsidR="00CB74EF" w:rsidRPr="00992F24"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992F24">
              <w:rPr>
                <w:rFonts w:ascii="Times New Roman" w:eastAsia="Times New Roman" w:hAnsi="Times New Roman" w:cs="Times New Roman"/>
                <w:b/>
                <w:bCs/>
                <w:sz w:val="20"/>
                <w:szCs w:val="20"/>
                <w:lang w:val="ro-RO"/>
              </w:rPr>
              <w:t>2011</w:t>
            </w:r>
          </w:p>
        </w:tc>
        <w:tc>
          <w:tcPr>
            <w:tcW w:w="1487" w:type="dxa"/>
            <w:shd w:val="clear" w:color="auto" w:fill="DDD9C3" w:themeFill="background2" w:themeFillShade="E6"/>
          </w:tcPr>
          <w:p w:rsidR="00CB74EF" w:rsidRPr="00992F24"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19,9</w:t>
            </w:r>
          </w:p>
        </w:tc>
        <w:tc>
          <w:tcPr>
            <w:tcW w:w="856" w:type="dxa"/>
            <w:shd w:val="clear" w:color="auto" w:fill="DDD9C3" w:themeFill="background2" w:themeFillShade="E6"/>
          </w:tcPr>
          <w:p w:rsidR="00CB74EF" w:rsidRPr="00992F24" w:rsidRDefault="00CB74EF" w:rsidP="00240933">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hAnsi="Times New Roman" w:cs="Times New Roman"/>
                <w:sz w:val="20"/>
                <w:szCs w:val="20"/>
                <w:lang w:val="ro-RO"/>
              </w:rPr>
              <w:t>-777</w:t>
            </w:r>
          </w:p>
        </w:tc>
        <w:tc>
          <w:tcPr>
            <w:tcW w:w="1080" w:type="dxa"/>
            <w:shd w:val="clear" w:color="auto" w:fill="DDD9C3" w:themeFill="background2" w:themeFillShade="E6"/>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6,6</w:t>
            </w:r>
          </w:p>
        </w:tc>
        <w:tc>
          <w:tcPr>
            <w:tcW w:w="810" w:type="dxa"/>
            <w:shd w:val="clear" w:color="auto" w:fill="DDD9C3" w:themeFill="background2" w:themeFillShade="E6"/>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63,4</w:t>
            </w:r>
          </w:p>
        </w:tc>
        <w:tc>
          <w:tcPr>
            <w:tcW w:w="1350" w:type="dxa"/>
            <w:shd w:val="clear" w:color="auto" w:fill="DDD9C3" w:themeFill="background2" w:themeFillShade="E6"/>
            <w:noWrap/>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eastAsia="Times New Roman" w:hAnsi="Times New Roman" w:cs="Times New Roman"/>
                <w:sz w:val="20"/>
                <w:szCs w:val="20"/>
                <w:lang w:val="ro-RO"/>
              </w:rPr>
              <w:t>56,46</w:t>
            </w:r>
          </w:p>
        </w:tc>
        <w:tc>
          <w:tcPr>
            <w:tcW w:w="1080" w:type="dxa"/>
            <w:shd w:val="clear" w:color="auto" w:fill="DDD9C3" w:themeFill="background2" w:themeFillShade="E6"/>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56.80     </w:t>
            </w:r>
          </w:p>
        </w:tc>
        <w:tc>
          <w:tcPr>
            <w:tcW w:w="900" w:type="dxa"/>
            <w:shd w:val="clear" w:color="auto" w:fill="DDD9C3" w:themeFill="background2" w:themeFillShade="E6"/>
          </w:tcPr>
          <w:p w:rsidR="00CB74EF"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2,3</w:t>
            </w:r>
          </w:p>
        </w:tc>
        <w:tc>
          <w:tcPr>
            <w:tcW w:w="1002" w:type="dxa"/>
            <w:shd w:val="clear" w:color="auto" w:fill="DDD9C3" w:themeFill="background2" w:themeFillShade="E6"/>
          </w:tcPr>
          <w:p w:rsidR="00CB74EF" w:rsidRDefault="00E054E0"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n/a</w:t>
            </w:r>
          </w:p>
        </w:tc>
      </w:tr>
      <w:tr w:rsidR="00CB74EF" w:rsidRPr="00243D47" w:rsidTr="00CB74EF">
        <w:trPr>
          <w:trHeight w:val="250"/>
          <w:jc w:val="center"/>
        </w:trPr>
        <w:tc>
          <w:tcPr>
            <w:tcW w:w="735" w:type="dxa"/>
            <w:shd w:val="clear" w:color="auto" w:fill="FFFFFF" w:themeFill="background1"/>
            <w:noWrap/>
          </w:tcPr>
          <w:p w:rsidR="00CB74EF" w:rsidRPr="00992F24"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992F24">
              <w:rPr>
                <w:rFonts w:ascii="Times New Roman" w:eastAsia="Times New Roman" w:hAnsi="Times New Roman" w:cs="Times New Roman"/>
                <w:b/>
                <w:bCs/>
                <w:sz w:val="20"/>
                <w:szCs w:val="20"/>
                <w:lang w:val="ro-RO"/>
              </w:rPr>
              <w:t>2012</w:t>
            </w:r>
          </w:p>
        </w:tc>
        <w:tc>
          <w:tcPr>
            <w:tcW w:w="1487" w:type="dxa"/>
            <w:shd w:val="clear" w:color="auto" w:fill="FFFFFF" w:themeFill="background1"/>
          </w:tcPr>
          <w:p w:rsidR="00CB74EF" w:rsidRPr="00992F24"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27,6</w:t>
            </w:r>
          </w:p>
        </w:tc>
        <w:tc>
          <w:tcPr>
            <w:tcW w:w="856" w:type="dxa"/>
            <w:shd w:val="clear" w:color="auto" w:fill="FFFFFF" w:themeFill="background1"/>
          </w:tcPr>
          <w:p w:rsidR="00CB74EF" w:rsidRPr="00992F24" w:rsidRDefault="00CB74EF" w:rsidP="00240933">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hAnsi="Times New Roman" w:cs="Times New Roman"/>
                <w:sz w:val="20"/>
                <w:szCs w:val="20"/>
                <w:lang w:val="ro-RO"/>
              </w:rPr>
              <w:t>-2.300</w:t>
            </w:r>
          </w:p>
        </w:tc>
        <w:tc>
          <w:tcPr>
            <w:tcW w:w="1080" w:type="dxa"/>
            <w:shd w:val="clear" w:color="auto" w:fill="FFFFFF" w:themeFill="background1"/>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1,3</w:t>
            </w:r>
          </w:p>
        </w:tc>
        <w:tc>
          <w:tcPr>
            <w:tcW w:w="810" w:type="dxa"/>
            <w:shd w:val="clear" w:color="auto" w:fill="FFFFFF" w:themeFill="background1"/>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46,3</w:t>
            </w:r>
          </w:p>
        </w:tc>
        <w:tc>
          <w:tcPr>
            <w:tcW w:w="1350" w:type="dxa"/>
            <w:shd w:val="clear" w:color="auto" w:fill="FFFFFF" w:themeFill="background1"/>
            <w:noWrap/>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eastAsia="Times New Roman" w:hAnsi="Times New Roman" w:cs="Times New Roman"/>
                <w:sz w:val="20"/>
                <w:szCs w:val="20"/>
                <w:lang w:val="ro-RO"/>
              </w:rPr>
              <w:t>54,98</w:t>
            </w:r>
          </w:p>
        </w:tc>
        <w:tc>
          <w:tcPr>
            <w:tcW w:w="1080" w:type="dxa"/>
            <w:shd w:val="clear" w:color="auto" w:fill="FFFFFF" w:themeFill="background1"/>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56.51     </w:t>
            </w:r>
          </w:p>
        </w:tc>
        <w:tc>
          <w:tcPr>
            <w:tcW w:w="900" w:type="dxa"/>
            <w:shd w:val="clear" w:color="auto" w:fill="FFFFFF" w:themeFill="background1"/>
          </w:tcPr>
          <w:p w:rsidR="00CB74EF"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0,6</w:t>
            </w:r>
          </w:p>
        </w:tc>
        <w:tc>
          <w:tcPr>
            <w:tcW w:w="1002" w:type="dxa"/>
            <w:shd w:val="clear" w:color="auto" w:fill="FFFFFF" w:themeFill="background1"/>
          </w:tcPr>
          <w:p w:rsidR="00CB74EF" w:rsidRDefault="00E054E0"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n/a</w:t>
            </w:r>
          </w:p>
        </w:tc>
      </w:tr>
      <w:tr w:rsidR="00CB74EF" w:rsidRPr="00243D47" w:rsidTr="00CB74EF">
        <w:trPr>
          <w:trHeight w:val="250"/>
          <w:jc w:val="center"/>
        </w:trPr>
        <w:tc>
          <w:tcPr>
            <w:tcW w:w="735" w:type="dxa"/>
            <w:shd w:val="clear" w:color="auto" w:fill="DDD9C3" w:themeFill="background2" w:themeFillShade="E6"/>
            <w:noWrap/>
          </w:tcPr>
          <w:p w:rsidR="00CB74EF" w:rsidRPr="00992F24"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992F24">
              <w:rPr>
                <w:rFonts w:ascii="Times New Roman" w:eastAsia="Times New Roman" w:hAnsi="Times New Roman" w:cs="Times New Roman"/>
                <w:b/>
                <w:bCs/>
                <w:sz w:val="20"/>
                <w:szCs w:val="20"/>
                <w:lang w:val="ro-RO"/>
              </w:rPr>
              <w:t>2013</w:t>
            </w:r>
          </w:p>
        </w:tc>
        <w:tc>
          <w:tcPr>
            <w:tcW w:w="1487" w:type="dxa"/>
            <w:shd w:val="clear" w:color="auto" w:fill="DDD9C3" w:themeFill="background2" w:themeFillShade="E6"/>
          </w:tcPr>
          <w:p w:rsidR="00CB74EF" w:rsidRPr="00992F24"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31,5</w:t>
            </w:r>
          </w:p>
        </w:tc>
        <w:tc>
          <w:tcPr>
            <w:tcW w:w="856" w:type="dxa"/>
            <w:shd w:val="clear" w:color="auto" w:fill="DDD9C3" w:themeFill="background2" w:themeFillShade="E6"/>
          </w:tcPr>
          <w:p w:rsidR="00CB74EF" w:rsidRPr="00992F24" w:rsidRDefault="00CB74EF" w:rsidP="00240933">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hAnsi="Times New Roman" w:cs="Times New Roman"/>
                <w:sz w:val="20"/>
                <w:szCs w:val="20"/>
                <w:lang w:val="ro-RO"/>
              </w:rPr>
              <w:t>49</w:t>
            </w:r>
          </w:p>
        </w:tc>
        <w:tc>
          <w:tcPr>
            <w:tcW w:w="1080" w:type="dxa"/>
            <w:shd w:val="clear" w:color="auto" w:fill="DDD9C3" w:themeFill="background2" w:themeFillShade="E6"/>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-3,2</w:t>
            </w:r>
          </w:p>
        </w:tc>
        <w:tc>
          <w:tcPr>
            <w:tcW w:w="810" w:type="dxa"/>
            <w:shd w:val="clear" w:color="auto" w:fill="DDD9C3" w:themeFill="background2" w:themeFillShade="E6"/>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62,5</w:t>
            </w:r>
          </w:p>
        </w:tc>
        <w:tc>
          <w:tcPr>
            <w:tcW w:w="1350" w:type="dxa"/>
            <w:shd w:val="clear" w:color="auto" w:fill="DDD9C3" w:themeFill="background2" w:themeFillShade="E6"/>
            <w:noWrap/>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eastAsia="Times New Roman" w:hAnsi="Times New Roman" w:cs="Times New Roman"/>
                <w:sz w:val="20"/>
                <w:szCs w:val="20"/>
                <w:lang w:val="ro-RO"/>
              </w:rPr>
              <w:t>54,95</w:t>
            </w:r>
          </w:p>
        </w:tc>
        <w:tc>
          <w:tcPr>
            <w:tcW w:w="1080" w:type="dxa"/>
            <w:shd w:val="clear" w:color="auto" w:fill="DDD9C3" w:themeFill="background2" w:themeFillShade="E6"/>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49.96     </w:t>
            </w:r>
          </w:p>
        </w:tc>
        <w:tc>
          <w:tcPr>
            <w:tcW w:w="900" w:type="dxa"/>
            <w:shd w:val="clear" w:color="auto" w:fill="DDD9C3" w:themeFill="background2" w:themeFillShade="E6"/>
          </w:tcPr>
          <w:p w:rsidR="00CB74EF"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3,5</w:t>
            </w:r>
          </w:p>
        </w:tc>
        <w:tc>
          <w:tcPr>
            <w:tcW w:w="1002" w:type="dxa"/>
            <w:shd w:val="clear" w:color="auto" w:fill="DDD9C3" w:themeFill="background2" w:themeFillShade="E6"/>
          </w:tcPr>
          <w:p w:rsidR="00CB74EF"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hAnsi="Times New Roman" w:cs="Times New Roman"/>
                <w:sz w:val="20"/>
                <w:szCs w:val="20"/>
              </w:rPr>
              <w:t>1,94</w:t>
            </w:r>
          </w:p>
        </w:tc>
      </w:tr>
      <w:tr w:rsidR="00CB74EF" w:rsidRPr="00243D47" w:rsidTr="00CB74EF">
        <w:trPr>
          <w:trHeight w:val="250"/>
          <w:jc w:val="center"/>
        </w:trPr>
        <w:tc>
          <w:tcPr>
            <w:tcW w:w="735" w:type="dxa"/>
            <w:shd w:val="clear" w:color="auto" w:fill="FFFFFF" w:themeFill="background1"/>
            <w:noWrap/>
          </w:tcPr>
          <w:p w:rsidR="00CB74EF" w:rsidRPr="00992F24"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992F24">
              <w:rPr>
                <w:rFonts w:ascii="Times New Roman" w:eastAsia="Times New Roman" w:hAnsi="Times New Roman" w:cs="Times New Roman"/>
                <w:b/>
                <w:bCs/>
                <w:sz w:val="20"/>
                <w:szCs w:val="20"/>
                <w:lang w:val="ro-RO"/>
              </w:rPr>
              <w:t>2014</w:t>
            </w:r>
          </w:p>
        </w:tc>
        <w:tc>
          <w:tcPr>
            <w:tcW w:w="1487" w:type="dxa"/>
            <w:shd w:val="clear" w:color="auto" w:fill="FFFFFF" w:themeFill="background1"/>
          </w:tcPr>
          <w:p w:rsidR="00CB74EF" w:rsidRPr="00992F24"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20,7</w:t>
            </w:r>
          </w:p>
        </w:tc>
        <w:tc>
          <w:tcPr>
            <w:tcW w:w="856" w:type="dxa"/>
            <w:shd w:val="clear" w:color="auto" w:fill="FFFFFF" w:themeFill="background1"/>
          </w:tcPr>
          <w:p w:rsidR="00CB74EF" w:rsidRPr="00992F24" w:rsidRDefault="00CB74EF" w:rsidP="00240933">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hAnsi="Times New Roman" w:cs="Times New Roman"/>
                <w:sz w:val="20"/>
                <w:szCs w:val="20"/>
                <w:lang w:val="ro-RO"/>
              </w:rPr>
              <w:t>-4.700</w:t>
            </w:r>
          </w:p>
        </w:tc>
        <w:tc>
          <w:tcPr>
            <w:tcW w:w="1080" w:type="dxa"/>
            <w:shd w:val="clear" w:color="auto" w:fill="FFFFFF" w:themeFill="background1"/>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-3,3</w:t>
            </w:r>
          </w:p>
        </w:tc>
        <w:tc>
          <w:tcPr>
            <w:tcW w:w="810" w:type="dxa"/>
            <w:shd w:val="clear" w:color="auto" w:fill="FFFFFF" w:themeFill="background1"/>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60,9</w:t>
            </w:r>
          </w:p>
        </w:tc>
        <w:tc>
          <w:tcPr>
            <w:tcW w:w="1350" w:type="dxa"/>
            <w:shd w:val="clear" w:color="auto" w:fill="FFFFFF" w:themeFill="background1"/>
            <w:noWrap/>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eastAsia="Times New Roman" w:hAnsi="Times New Roman" w:cs="Times New Roman"/>
                <w:sz w:val="20"/>
                <w:szCs w:val="20"/>
                <w:lang w:val="ro-RO"/>
              </w:rPr>
              <w:t>54,58</w:t>
            </w:r>
          </w:p>
        </w:tc>
        <w:tc>
          <w:tcPr>
            <w:tcW w:w="1080" w:type="dxa"/>
            <w:shd w:val="clear" w:color="auto" w:fill="FFFFFF" w:themeFill="background1"/>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50.29     </w:t>
            </w:r>
          </w:p>
        </w:tc>
        <w:tc>
          <w:tcPr>
            <w:tcW w:w="900" w:type="dxa"/>
            <w:shd w:val="clear" w:color="auto" w:fill="FFFFFF" w:themeFill="background1"/>
          </w:tcPr>
          <w:p w:rsidR="00CB74EF"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3,0</w:t>
            </w:r>
          </w:p>
        </w:tc>
        <w:tc>
          <w:tcPr>
            <w:tcW w:w="1002" w:type="dxa"/>
            <w:shd w:val="clear" w:color="auto" w:fill="FFFFFF" w:themeFill="background1"/>
          </w:tcPr>
          <w:p w:rsidR="00CB74EF" w:rsidRDefault="00CB74EF" w:rsidP="00243D47">
            <w:pPr>
              <w:widowControl w:val="0"/>
              <w:spacing w:after="0" w:line="240" w:lineRule="auto"/>
              <w:jc w:val="center"/>
              <w:rPr>
                <w:rFonts w:ascii="Times New Roman" w:eastAsia="Times New Roman" w:hAnsi="Times New Roman" w:cs="Times New Roman"/>
                <w:sz w:val="20"/>
                <w:szCs w:val="20"/>
                <w:lang w:val="ro-RO"/>
              </w:rPr>
            </w:pPr>
            <w:r w:rsidRPr="00487E2F">
              <w:rPr>
                <w:rFonts w:ascii="Times New Roman" w:hAnsi="Times New Roman" w:cs="Times New Roman"/>
                <w:sz w:val="20"/>
                <w:szCs w:val="20"/>
              </w:rPr>
              <w:t>1.38</w:t>
            </w:r>
          </w:p>
        </w:tc>
      </w:tr>
      <w:tr w:rsidR="00CB74EF" w:rsidRPr="00243D47" w:rsidTr="00CB74EF">
        <w:trPr>
          <w:trHeight w:val="250"/>
          <w:jc w:val="center"/>
        </w:trPr>
        <w:tc>
          <w:tcPr>
            <w:tcW w:w="735" w:type="dxa"/>
            <w:shd w:val="clear" w:color="auto" w:fill="DDD9C3" w:themeFill="background2" w:themeFillShade="E6"/>
            <w:noWrap/>
          </w:tcPr>
          <w:p w:rsidR="00CB74EF" w:rsidRPr="00992F24"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992F24">
              <w:rPr>
                <w:rFonts w:ascii="Times New Roman" w:eastAsia="Times New Roman" w:hAnsi="Times New Roman" w:cs="Times New Roman"/>
                <w:b/>
                <w:bCs/>
                <w:sz w:val="20"/>
                <w:szCs w:val="20"/>
                <w:lang w:val="ro-RO"/>
              </w:rPr>
              <w:t>2015</w:t>
            </w:r>
          </w:p>
        </w:tc>
        <w:tc>
          <w:tcPr>
            <w:tcW w:w="1487" w:type="dxa"/>
            <w:shd w:val="clear" w:color="auto" w:fill="DDD9C3" w:themeFill="background2" w:themeFillShade="E6"/>
          </w:tcPr>
          <w:p w:rsidR="00CB74EF" w:rsidRPr="00992F24"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13,5</w:t>
            </w:r>
          </w:p>
        </w:tc>
        <w:tc>
          <w:tcPr>
            <w:tcW w:w="856" w:type="dxa"/>
            <w:shd w:val="clear" w:color="auto" w:fill="DDD9C3" w:themeFill="background2" w:themeFillShade="E6"/>
          </w:tcPr>
          <w:p w:rsidR="00CB74EF" w:rsidRPr="00992F24" w:rsidRDefault="00CB74EF" w:rsidP="00240933">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hAnsi="Times New Roman" w:cs="Times New Roman"/>
                <w:sz w:val="20"/>
                <w:szCs w:val="20"/>
                <w:lang w:val="ro-RO"/>
              </w:rPr>
              <w:t>4.878</w:t>
            </w:r>
          </w:p>
        </w:tc>
        <w:tc>
          <w:tcPr>
            <w:tcW w:w="1080" w:type="dxa"/>
            <w:shd w:val="clear" w:color="auto" w:fill="DDD9C3" w:themeFill="background2" w:themeFillShade="E6"/>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2,9</w:t>
            </w:r>
          </w:p>
        </w:tc>
        <w:tc>
          <w:tcPr>
            <w:tcW w:w="810" w:type="dxa"/>
            <w:shd w:val="clear" w:color="auto" w:fill="DDD9C3" w:themeFill="background2" w:themeFillShade="E6"/>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49,3</w:t>
            </w:r>
          </w:p>
        </w:tc>
        <w:tc>
          <w:tcPr>
            <w:tcW w:w="1350" w:type="dxa"/>
            <w:shd w:val="clear" w:color="auto" w:fill="DDD9C3" w:themeFill="background2" w:themeFillShade="E6"/>
            <w:noWrap/>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eastAsia="Times New Roman" w:hAnsi="Times New Roman" w:cs="Times New Roman"/>
                <w:sz w:val="20"/>
                <w:szCs w:val="20"/>
                <w:lang w:val="ro-RO"/>
              </w:rPr>
              <w:t>54,52</w:t>
            </w:r>
          </w:p>
        </w:tc>
        <w:tc>
          <w:tcPr>
            <w:tcW w:w="1080" w:type="dxa"/>
            <w:shd w:val="clear" w:color="auto" w:fill="DDD9C3" w:themeFill="background2" w:themeFillShade="E6"/>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46.45     </w:t>
            </w:r>
          </w:p>
        </w:tc>
        <w:tc>
          <w:tcPr>
            <w:tcW w:w="900" w:type="dxa"/>
            <w:shd w:val="clear" w:color="auto" w:fill="DDD9C3" w:themeFill="background2" w:themeFillShade="E6"/>
          </w:tcPr>
          <w:p w:rsidR="00CB74EF"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3,8</w:t>
            </w:r>
          </w:p>
        </w:tc>
        <w:tc>
          <w:tcPr>
            <w:tcW w:w="1002" w:type="dxa"/>
            <w:shd w:val="clear" w:color="auto" w:fill="DDD9C3" w:themeFill="background2" w:themeFillShade="E6"/>
          </w:tcPr>
          <w:p w:rsidR="00CB74EF"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1,00</w:t>
            </w:r>
          </w:p>
        </w:tc>
      </w:tr>
      <w:tr w:rsidR="00CB74EF" w:rsidRPr="00243D47" w:rsidTr="00CB74EF">
        <w:trPr>
          <w:trHeight w:val="256"/>
          <w:jc w:val="center"/>
        </w:trPr>
        <w:tc>
          <w:tcPr>
            <w:tcW w:w="735" w:type="dxa"/>
            <w:shd w:val="clear" w:color="auto" w:fill="FFFFFF" w:themeFill="background1"/>
            <w:noWrap/>
          </w:tcPr>
          <w:p w:rsidR="00CB74EF" w:rsidRPr="00992F24"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992F24">
              <w:rPr>
                <w:rFonts w:ascii="Times New Roman" w:eastAsia="Times New Roman" w:hAnsi="Times New Roman" w:cs="Times New Roman"/>
                <w:b/>
                <w:bCs/>
                <w:sz w:val="20"/>
                <w:szCs w:val="20"/>
                <w:lang w:val="ro-RO"/>
              </w:rPr>
              <w:t>2016</w:t>
            </w:r>
          </w:p>
        </w:tc>
        <w:tc>
          <w:tcPr>
            <w:tcW w:w="1487" w:type="dxa"/>
            <w:shd w:val="clear" w:color="auto" w:fill="FFFFFF" w:themeFill="background1"/>
          </w:tcPr>
          <w:p w:rsidR="00CB74EF" w:rsidRPr="00992F24"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9,6</w:t>
            </w:r>
          </w:p>
        </w:tc>
        <w:tc>
          <w:tcPr>
            <w:tcW w:w="856" w:type="dxa"/>
            <w:shd w:val="clear" w:color="auto" w:fill="FFFFFF" w:themeFill="background1"/>
          </w:tcPr>
          <w:p w:rsidR="00CB74EF" w:rsidRPr="00992F24" w:rsidRDefault="00CB74EF" w:rsidP="00240933">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hAnsi="Times New Roman" w:cs="Times New Roman"/>
                <w:sz w:val="20"/>
                <w:szCs w:val="20"/>
                <w:lang w:val="ro-RO"/>
              </w:rPr>
              <w:t>4.259</w:t>
            </w:r>
          </w:p>
        </w:tc>
        <w:tc>
          <w:tcPr>
            <w:tcW w:w="1080" w:type="dxa"/>
            <w:shd w:val="clear" w:color="auto" w:fill="FFFFFF" w:themeFill="background1"/>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1,2</w:t>
            </w:r>
          </w:p>
        </w:tc>
        <w:tc>
          <w:tcPr>
            <w:tcW w:w="810" w:type="dxa"/>
            <w:shd w:val="clear" w:color="auto" w:fill="FFFFFF" w:themeFill="background1"/>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42,8</w:t>
            </w:r>
          </w:p>
        </w:tc>
        <w:tc>
          <w:tcPr>
            <w:tcW w:w="1350" w:type="dxa"/>
            <w:shd w:val="clear" w:color="auto" w:fill="FFFFFF" w:themeFill="background1"/>
            <w:noWrap/>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eastAsia="Times New Roman" w:hAnsi="Times New Roman" w:cs="Times New Roman"/>
                <w:sz w:val="20"/>
                <w:szCs w:val="20"/>
                <w:lang w:val="ro-RO"/>
              </w:rPr>
              <w:t>54,45</w:t>
            </w:r>
          </w:p>
        </w:tc>
        <w:tc>
          <w:tcPr>
            <w:tcW w:w="1080" w:type="dxa"/>
            <w:shd w:val="clear" w:color="auto" w:fill="FFFFFF" w:themeFill="background1"/>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42.87     </w:t>
            </w:r>
          </w:p>
        </w:tc>
        <w:tc>
          <w:tcPr>
            <w:tcW w:w="900" w:type="dxa"/>
            <w:shd w:val="clear" w:color="auto" w:fill="FFFFFF" w:themeFill="background1"/>
          </w:tcPr>
          <w:p w:rsidR="00CB74EF"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4,8</w:t>
            </w:r>
          </w:p>
        </w:tc>
        <w:tc>
          <w:tcPr>
            <w:tcW w:w="1002" w:type="dxa"/>
            <w:shd w:val="clear" w:color="auto" w:fill="FFFFFF" w:themeFill="background1"/>
          </w:tcPr>
          <w:p w:rsidR="00CB74EF"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1,40</w:t>
            </w:r>
          </w:p>
        </w:tc>
      </w:tr>
      <w:tr w:rsidR="00CB74EF" w:rsidRPr="00243D47" w:rsidTr="00CB74EF">
        <w:trPr>
          <w:trHeight w:val="250"/>
          <w:jc w:val="center"/>
        </w:trPr>
        <w:tc>
          <w:tcPr>
            <w:tcW w:w="735" w:type="dxa"/>
            <w:shd w:val="clear" w:color="auto" w:fill="DDD9C3" w:themeFill="background2" w:themeFillShade="E6"/>
            <w:noWrap/>
          </w:tcPr>
          <w:p w:rsidR="00CB74EF" w:rsidRPr="00992F24" w:rsidRDefault="00CB74EF" w:rsidP="00530628">
            <w:pPr>
              <w:widowControl w:val="0"/>
              <w:spacing w:after="0" w:line="240" w:lineRule="auto"/>
              <w:jc w:val="center"/>
              <w:rPr>
                <w:rFonts w:ascii="Times New Roman" w:eastAsia="Times New Roman" w:hAnsi="Times New Roman" w:cs="Times New Roman"/>
                <w:b/>
                <w:bCs/>
                <w:sz w:val="20"/>
                <w:szCs w:val="20"/>
                <w:lang w:val="ro-RO"/>
              </w:rPr>
            </w:pPr>
            <w:r w:rsidRPr="00992F24">
              <w:rPr>
                <w:rFonts w:ascii="Times New Roman" w:eastAsia="Times New Roman" w:hAnsi="Times New Roman" w:cs="Times New Roman"/>
                <w:b/>
                <w:bCs/>
                <w:sz w:val="20"/>
                <w:szCs w:val="20"/>
                <w:lang w:val="ro-RO"/>
              </w:rPr>
              <w:t>2017</w:t>
            </w:r>
          </w:p>
        </w:tc>
        <w:tc>
          <w:tcPr>
            <w:tcW w:w="1487" w:type="dxa"/>
            <w:shd w:val="clear" w:color="auto" w:fill="DDD9C3" w:themeFill="background2" w:themeFillShade="E6"/>
          </w:tcPr>
          <w:p w:rsidR="00CB74EF" w:rsidRPr="00992F24"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6,4</w:t>
            </w:r>
          </w:p>
        </w:tc>
        <w:tc>
          <w:tcPr>
            <w:tcW w:w="856" w:type="dxa"/>
            <w:shd w:val="clear" w:color="auto" w:fill="DDD9C3" w:themeFill="background2" w:themeFillShade="E6"/>
          </w:tcPr>
          <w:p w:rsidR="00CB74EF" w:rsidRPr="00992F24" w:rsidRDefault="00CB74EF" w:rsidP="00240933">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hAnsi="Times New Roman" w:cs="Times New Roman"/>
                <w:sz w:val="20"/>
                <w:szCs w:val="20"/>
                <w:lang w:val="ro-RO"/>
              </w:rPr>
              <w:t>5.335</w:t>
            </w:r>
          </w:p>
        </w:tc>
        <w:tc>
          <w:tcPr>
            <w:tcW w:w="1080" w:type="dxa"/>
            <w:shd w:val="clear" w:color="auto" w:fill="DDD9C3" w:themeFill="background2" w:themeFillShade="E6"/>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5,5</w:t>
            </w:r>
          </w:p>
        </w:tc>
        <w:tc>
          <w:tcPr>
            <w:tcW w:w="810" w:type="dxa"/>
            <w:shd w:val="clear" w:color="auto" w:fill="DDD9C3" w:themeFill="background2" w:themeFillShade="E6"/>
          </w:tcPr>
          <w:p w:rsidR="00CB74EF" w:rsidRDefault="00CB74EF" w:rsidP="00240933">
            <w:pPr>
              <w:widowControl w:val="0"/>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37,2</w:t>
            </w:r>
          </w:p>
        </w:tc>
        <w:tc>
          <w:tcPr>
            <w:tcW w:w="1350" w:type="dxa"/>
            <w:shd w:val="clear" w:color="auto" w:fill="DDD9C3" w:themeFill="background2" w:themeFillShade="E6"/>
            <w:noWrap/>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sidRPr="00992F24">
              <w:rPr>
                <w:rFonts w:ascii="Times New Roman" w:eastAsia="Times New Roman" w:hAnsi="Times New Roman" w:cs="Times New Roman"/>
                <w:sz w:val="20"/>
                <w:szCs w:val="20"/>
                <w:lang w:val="ro-RO"/>
              </w:rPr>
              <w:t>54,19</w:t>
            </w:r>
          </w:p>
        </w:tc>
        <w:tc>
          <w:tcPr>
            <w:tcW w:w="1080" w:type="dxa"/>
            <w:shd w:val="clear" w:color="auto" w:fill="DDD9C3" w:themeFill="background2" w:themeFillShade="E6"/>
          </w:tcPr>
          <w:p w:rsidR="00CB74EF" w:rsidRPr="00992F24" w:rsidRDefault="00CB74EF" w:rsidP="00243D47">
            <w:pPr>
              <w:widowControl w:val="0"/>
              <w:spacing w:after="0" w:line="240" w:lineRule="auto"/>
              <w:jc w:val="center"/>
              <w:rPr>
                <w:rFonts w:ascii="Times New Roman" w:eastAsia="Times New Roman" w:hAnsi="Times New Roman" w:cs="Times New Roman"/>
                <w:sz w:val="20"/>
                <w:szCs w:val="20"/>
                <w:lang w:val="ro-RO"/>
              </w:rPr>
            </w:pPr>
            <w:r w:rsidRPr="00282C65">
              <w:rPr>
                <w:rFonts w:ascii="Times New Roman" w:eastAsia="Times New Roman" w:hAnsi="Times New Roman" w:cs="Times New Roman"/>
                <w:sz w:val="20"/>
                <w:szCs w:val="20"/>
                <w:lang w:val="ro-RO"/>
              </w:rPr>
              <w:t xml:space="preserve">39.28     </w:t>
            </w:r>
          </w:p>
        </w:tc>
        <w:tc>
          <w:tcPr>
            <w:tcW w:w="900" w:type="dxa"/>
            <w:shd w:val="clear" w:color="auto" w:fill="DDD9C3" w:themeFill="background2" w:themeFillShade="E6"/>
          </w:tcPr>
          <w:p w:rsidR="00CB74EF" w:rsidRPr="00282C65" w:rsidRDefault="00CB74EF"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6,9</w:t>
            </w:r>
          </w:p>
        </w:tc>
        <w:tc>
          <w:tcPr>
            <w:tcW w:w="1002" w:type="dxa"/>
            <w:shd w:val="clear" w:color="auto" w:fill="DDD9C3" w:themeFill="background2" w:themeFillShade="E6"/>
          </w:tcPr>
          <w:p w:rsidR="00CB74EF" w:rsidRDefault="00E054E0" w:rsidP="00243D47">
            <w:pPr>
              <w:widowControl w:val="0"/>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2,90</w:t>
            </w:r>
          </w:p>
        </w:tc>
      </w:tr>
    </w:tbl>
    <w:p w:rsidR="00F8460C" w:rsidRPr="00F8460C" w:rsidRDefault="00243D47" w:rsidP="00F8460C">
      <w:pPr>
        <w:widowControl w:val="0"/>
        <w:spacing w:after="0" w:line="240" w:lineRule="auto"/>
        <w:jc w:val="both"/>
        <w:rPr>
          <w:rFonts w:ascii="Times New Roman" w:eastAsia="Times New Roman" w:hAnsi="Times New Roman" w:cs="Times New Roman"/>
          <w:sz w:val="20"/>
          <w:szCs w:val="20"/>
          <w:lang w:val="ro-RO"/>
        </w:rPr>
      </w:pPr>
      <w:r w:rsidRPr="00530628">
        <w:rPr>
          <w:rFonts w:ascii="Times New Roman" w:eastAsia="Times New Roman" w:hAnsi="Times New Roman" w:cs="Times New Roman"/>
          <w:b/>
          <w:sz w:val="20"/>
          <w:szCs w:val="20"/>
          <w:lang w:val="ro-RO"/>
        </w:rPr>
        <w:t xml:space="preserve">                                                          </w:t>
      </w:r>
      <w:r w:rsidRPr="00530628">
        <w:rPr>
          <w:rFonts w:ascii="Times New Roman" w:eastAsia="Times New Roman" w:hAnsi="Times New Roman" w:cs="Times New Roman"/>
          <w:sz w:val="20"/>
          <w:szCs w:val="20"/>
          <w:lang w:val="ro-RO"/>
        </w:rPr>
        <w:t>Sursa:</w:t>
      </w:r>
      <w:r w:rsidRPr="00530628">
        <w:rPr>
          <w:rFonts w:ascii="Times New Roman" w:eastAsia="Times New Roman" w:hAnsi="Times New Roman" w:cs="Times New Roman"/>
          <w:b/>
          <w:sz w:val="20"/>
          <w:szCs w:val="20"/>
          <w:lang w:val="ro-RO"/>
        </w:rPr>
        <w:t xml:space="preserve"> </w:t>
      </w:r>
      <w:r w:rsidRPr="00530628">
        <w:rPr>
          <w:rFonts w:ascii="Times New Roman" w:eastAsia="Times New Roman" w:hAnsi="Times New Roman" w:cs="Times New Roman"/>
          <w:sz w:val="20"/>
          <w:szCs w:val="20"/>
          <w:lang w:val="ro-RO"/>
        </w:rPr>
        <w:t>Prelucrare dup</w:t>
      </w:r>
      <w:r w:rsidR="00F8460C">
        <w:rPr>
          <w:rFonts w:ascii="Times New Roman" w:eastAsia="Times New Roman" w:hAnsi="Times New Roman" w:cs="Times New Roman"/>
          <w:sz w:val="20"/>
          <w:szCs w:val="20"/>
          <w:lang w:val="ro-RO"/>
        </w:rPr>
        <w:t>ă BNR, Baza de date interactivă</w:t>
      </w:r>
    </w:p>
    <w:p w:rsidR="00243D47" w:rsidRDefault="00F8460C" w:rsidP="009205E8">
      <w:pPr>
        <w:widowControl w:val="0"/>
        <w:spacing w:after="0" w:line="240" w:lineRule="auto"/>
        <w:jc w:val="both"/>
        <w:rPr>
          <w:rFonts w:ascii="Times New Roman" w:eastAsia="Times New Roman" w:hAnsi="Times New Roman" w:cs="Times New Roman"/>
          <w:sz w:val="24"/>
          <w:szCs w:val="24"/>
          <w:lang w:val="ro-RO"/>
        </w:rPr>
      </w:pPr>
      <w:r>
        <w:rPr>
          <w:rFonts w:ascii="Times New Roman" w:hAnsi="Times New Roman" w:cs="Times New Roman"/>
          <w:sz w:val="24"/>
          <w:szCs w:val="24"/>
        </w:rPr>
        <w:tab/>
        <w:t>S</w:t>
      </w:r>
      <w:r w:rsidRPr="00CC3559">
        <w:rPr>
          <w:rFonts w:ascii="Times New Roman" w:hAnsi="Times New Roman" w:cs="Times New Roman"/>
          <w:sz w:val="24"/>
          <w:szCs w:val="24"/>
        </w:rPr>
        <w:t>itu</w:t>
      </w:r>
      <w:r w:rsidRPr="00CC3559">
        <w:rPr>
          <w:rFonts w:ascii="Times New Roman" w:hAnsi="Times New Roman" w:cs="Times New Roman"/>
          <w:sz w:val="24"/>
          <w:szCs w:val="24"/>
          <w:lang w:val="ro-RO"/>
        </w:rPr>
        <w:t>aţia economică evidenţiată prin indicatorul PIB</w:t>
      </w:r>
      <w:r>
        <w:rPr>
          <w:rFonts w:ascii="Times New Roman" w:hAnsi="Times New Roman" w:cs="Times New Roman"/>
          <w:sz w:val="24"/>
          <w:szCs w:val="24"/>
          <w:lang w:val="ro-RO"/>
        </w:rPr>
        <w:t xml:space="preserve"> ne arată că băncile au înregistrat credite neperformante pe fondul scăderii PIB sau </w:t>
      </w:r>
      <w:r w:rsidR="000E1A24">
        <w:rPr>
          <w:rFonts w:ascii="Times New Roman" w:hAnsi="Times New Roman" w:cs="Times New Roman"/>
          <w:sz w:val="24"/>
          <w:szCs w:val="24"/>
          <w:lang w:val="ro-RO"/>
        </w:rPr>
        <w:t>a creș</w:t>
      </w:r>
      <w:r w:rsidR="0072274D">
        <w:rPr>
          <w:rFonts w:ascii="Times New Roman" w:hAnsi="Times New Roman" w:cs="Times New Roman"/>
          <w:sz w:val="24"/>
          <w:szCs w:val="24"/>
          <w:lang w:val="ro-RO"/>
        </w:rPr>
        <w:t>t</w:t>
      </w:r>
      <w:r w:rsidR="000E1A24">
        <w:rPr>
          <w:rFonts w:ascii="Times New Roman" w:hAnsi="Times New Roman" w:cs="Times New Roman"/>
          <w:sz w:val="24"/>
          <w:szCs w:val="24"/>
          <w:lang w:val="ro-RO"/>
        </w:rPr>
        <w:t>erii lui</w:t>
      </w:r>
      <w:r>
        <w:rPr>
          <w:rFonts w:ascii="Times New Roman" w:hAnsi="Times New Roman" w:cs="Times New Roman"/>
          <w:sz w:val="24"/>
          <w:szCs w:val="24"/>
          <w:lang w:val="ro-RO"/>
        </w:rPr>
        <w:t xml:space="preserve"> în ritmuri scăzute.</w:t>
      </w:r>
      <w:r w:rsidRPr="000E1A24">
        <w:rPr>
          <w:rFonts w:ascii="Times New Roman" w:hAnsi="Times New Roman" w:cs="Times New Roman"/>
          <w:sz w:val="24"/>
          <w:szCs w:val="24"/>
          <w:lang w:val="ro-RO"/>
        </w:rPr>
        <w:t>Astfel î</w:t>
      </w:r>
      <w:r w:rsidRPr="000E1A24">
        <w:rPr>
          <w:rFonts w:ascii="Times New Roman" w:eastAsia="Times New Roman" w:hAnsi="Times New Roman" w:cs="Times New Roman"/>
          <w:sz w:val="24"/>
          <w:szCs w:val="24"/>
          <w:lang w:val="ro-RO"/>
        </w:rPr>
        <w:t xml:space="preserve">n anul 2009, PIB a scăzut cu </w:t>
      </w:r>
      <w:r w:rsidR="0055224B" w:rsidRPr="000E1A24">
        <w:rPr>
          <w:rFonts w:ascii="Times New Roman" w:eastAsia="Times New Roman" w:hAnsi="Times New Roman" w:cs="Times New Roman"/>
          <w:b/>
          <w:sz w:val="24"/>
          <w:szCs w:val="24"/>
          <w:lang w:val="ro-RO"/>
        </w:rPr>
        <w:t>-</w:t>
      </w:r>
      <w:r w:rsidR="0055224B" w:rsidRPr="000E1A24">
        <w:rPr>
          <w:rFonts w:ascii="Times New Roman" w:eastAsia="Times New Roman" w:hAnsi="Times New Roman" w:cs="Times New Roman"/>
          <w:sz w:val="24"/>
          <w:szCs w:val="24"/>
          <w:lang w:val="ro-RO"/>
        </w:rPr>
        <w:t>6,6%</w:t>
      </w:r>
      <w:r w:rsidRPr="000E1A24">
        <w:rPr>
          <w:rFonts w:ascii="Times New Roman" w:eastAsia="Times New Roman" w:hAnsi="Times New Roman" w:cs="Times New Roman"/>
          <w:sz w:val="24"/>
          <w:szCs w:val="24"/>
          <w:lang w:val="ro-RO"/>
        </w:rPr>
        <w:t>,</w:t>
      </w:r>
      <w:r w:rsidR="0055224B" w:rsidRPr="000E1A24">
        <w:rPr>
          <w:rFonts w:ascii="Times New Roman" w:eastAsia="Times New Roman" w:hAnsi="Times New Roman" w:cs="Times New Roman"/>
          <w:sz w:val="24"/>
          <w:szCs w:val="24"/>
          <w:lang w:val="ro-RO"/>
        </w:rPr>
        <w:t xml:space="preserve"> </w:t>
      </w:r>
      <w:r w:rsidR="000E1A24" w:rsidRPr="000E1A24">
        <w:rPr>
          <w:rFonts w:ascii="Times New Roman" w:eastAsia="Times New Roman" w:hAnsi="Times New Roman" w:cs="Times New Roman"/>
          <w:sz w:val="24"/>
          <w:szCs w:val="24"/>
          <w:lang w:val="ro-RO"/>
        </w:rPr>
        <w:t>scădere înregistrându</w:t>
      </w:r>
      <w:r w:rsidR="000E1A24" w:rsidRPr="000E1A24">
        <w:rPr>
          <w:rFonts w:ascii="Times New Roman" w:eastAsia="Times New Roman" w:hAnsi="Times New Roman" w:cs="Times New Roman"/>
          <w:b/>
          <w:sz w:val="24"/>
          <w:szCs w:val="24"/>
          <w:lang w:val="ro-RO"/>
        </w:rPr>
        <w:t>-</w:t>
      </w:r>
      <w:r w:rsidR="0077252B">
        <w:rPr>
          <w:rFonts w:ascii="Times New Roman" w:eastAsia="Times New Roman" w:hAnsi="Times New Roman" w:cs="Times New Roman"/>
          <w:sz w:val="24"/>
          <w:szCs w:val="24"/>
          <w:lang w:val="ro-RO"/>
        </w:rPr>
        <w:t xml:space="preserve">se </w:t>
      </w:r>
      <w:r w:rsidR="000E1A24" w:rsidRPr="000E1A24">
        <w:rPr>
          <w:rFonts w:ascii="Times New Roman" w:eastAsia="Times New Roman" w:hAnsi="Times New Roman" w:cs="Times New Roman"/>
          <w:sz w:val="24"/>
          <w:szCs w:val="24"/>
          <w:lang w:val="ro-RO"/>
        </w:rPr>
        <w:t>și în anul 2010, ani în care rata creditelor neperformante a înregistrat 19,9</w:t>
      </w:r>
      <w:r w:rsidR="0072274D">
        <w:rPr>
          <w:rFonts w:ascii="Times New Roman" w:eastAsia="Times New Roman" w:hAnsi="Times New Roman" w:cs="Times New Roman"/>
          <w:sz w:val="24"/>
          <w:szCs w:val="24"/>
          <w:lang w:val="ro-RO"/>
        </w:rPr>
        <w:t>%, culminând cu anul 2013 când î</w:t>
      </w:r>
      <w:r w:rsidR="000E1A24" w:rsidRPr="000E1A24">
        <w:rPr>
          <w:rFonts w:ascii="Times New Roman" w:eastAsia="Times New Roman" w:hAnsi="Times New Roman" w:cs="Times New Roman"/>
          <w:sz w:val="24"/>
          <w:szCs w:val="24"/>
          <w:lang w:val="ro-RO"/>
        </w:rPr>
        <w:t xml:space="preserve">nregistra cea </w:t>
      </w:r>
      <w:r w:rsidR="009205E8">
        <w:rPr>
          <w:rFonts w:ascii="Times New Roman" w:eastAsia="Times New Roman" w:hAnsi="Times New Roman" w:cs="Times New Roman"/>
          <w:sz w:val="24"/>
          <w:szCs w:val="24"/>
          <w:lang w:val="ro-RO"/>
        </w:rPr>
        <w:t>mai mare valoare (31,5</w:t>
      </w:r>
      <w:r w:rsidR="0072274D">
        <w:rPr>
          <w:rFonts w:ascii="Times New Roman" w:eastAsia="Times New Roman" w:hAnsi="Times New Roman" w:cs="Times New Roman"/>
          <w:sz w:val="24"/>
          <w:szCs w:val="24"/>
          <w:lang w:val="ro-RO"/>
        </w:rPr>
        <w:t>%</w:t>
      </w:r>
      <w:r w:rsidR="009205E8">
        <w:rPr>
          <w:rFonts w:ascii="Times New Roman" w:eastAsia="Times New Roman" w:hAnsi="Times New Roman" w:cs="Times New Roman"/>
          <w:sz w:val="24"/>
          <w:szCs w:val="24"/>
          <w:lang w:val="ro-RO"/>
        </w:rPr>
        <w:t>), pe fond</w:t>
      </w:r>
      <w:r w:rsidR="000E1A24" w:rsidRPr="000E1A24">
        <w:rPr>
          <w:rFonts w:ascii="Times New Roman" w:eastAsia="Times New Roman" w:hAnsi="Times New Roman" w:cs="Times New Roman"/>
          <w:sz w:val="24"/>
          <w:szCs w:val="24"/>
          <w:lang w:val="ro-RO"/>
        </w:rPr>
        <w:t>ul creșterii modeste de numai 3,5% a PIB.</w:t>
      </w:r>
    </w:p>
    <w:p w:rsidR="009205E8" w:rsidRPr="00896D97" w:rsidRDefault="0082774D" w:rsidP="009205E8">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ab/>
        <w:t>Acest lucru a fost amplificat și de</w:t>
      </w:r>
      <w:r w:rsidR="009205E8">
        <w:rPr>
          <w:rFonts w:ascii="Times New Roman" w:eastAsia="Times New Roman" w:hAnsi="Times New Roman" w:cs="Times New Roman"/>
          <w:sz w:val="24"/>
          <w:szCs w:val="24"/>
          <w:lang w:val="ro-RO"/>
        </w:rPr>
        <w:t xml:space="preserve"> rit</w:t>
      </w:r>
      <w:r>
        <w:rPr>
          <w:rFonts w:ascii="Times New Roman" w:eastAsia="Times New Roman" w:hAnsi="Times New Roman" w:cs="Times New Roman"/>
          <w:sz w:val="24"/>
          <w:szCs w:val="24"/>
          <w:lang w:val="ro-RO"/>
        </w:rPr>
        <w:t>mul</w:t>
      </w:r>
      <w:r w:rsidR="009205E8">
        <w:rPr>
          <w:rFonts w:ascii="Times New Roman" w:eastAsia="Times New Roman" w:hAnsi="Times New Roman" w:cs="Times New Roman"/>
          <w:sz w:val="24"/>
          <w:szCs w:val="24"/>
          <w:lang w:val="ro-RO"/>
        </w:rPr>
        <w:t xml:space="preserve"> susținut de creștere a creditului în anii anteriori. De exemplu</w:t>
      </w:r>
      <w:r w:rsidR="00905A6C">
        <w:rPr>
          <w:rFonts w:ascii="Times New Roman" w:eastAsia="Times New Roman" w:hAnsi="Times New Roman" w:cs="Times New Roman"/>
          <w:sz w:val="24"/>
          <w:szCs w:val="24"/>
          <w:lang w:val="ro-RO"/>
        </w:rPr>
        <w:t>,</w:t>
      </w:r>
      <w:r w:rsidR="009205E8" w:rsidRPr="009205E8">
        <w:t xml:space="preserve"> </w:t>
      </w:r>
      <w:r w:rsidR="009205E8">
        <w:rPr>
          <w:rFonts w:ascii="Times New Roman" w:eastAsia="Times New Roman" w:hAnsi="Times New Roman" w:cs="Times New Roman"/>
          <w:sz w:val="24"/>
          <w:szCs w:val="24"/>
          <w:lang w:val="ro-RO"/>
        </w:rPr>
        <w:t>rata</w:t>
      </w:r>
      <w:r w:rsidR="009205E8" w:rsidRPr="009205E8">
        <w:rPr>
          <w:rFonts w:ascii="Times New Roman" w:eastAsia="Times New Roman" w:hAnsi="Times New Roman" w:cs="Times New Roman"/>
          <w:sz w:val="24"/>
          <w:szCs w:val="24"/>
          <w:lang w:val="ro-RO"/>
        </w:rPr>
        <w:t xml:space="preserve"> anuală de creştere a creditui în lei,</w:t>
      </w:r>
      <w:r w:rsidR="00A52E94">
        <w:rPr>
          <w:rFonts w:ascii="Times New Roman" w:eastAsia="Times New Roman" w:hAnsi="Times New Roman" w:cs="Times New Roman"/>
          <w:sz w:val="24"/>
          <w:szCs w:val="24"/>
          <w:lang w:val="ro-RO"/>
        </w:rPr>
        <w:t xml:space="preserve"> </w:t>
      </w:r>
      <w:r w:rsidR="009205E8">
        <w:rPr>
          <w:rFonts w:ascii="Times New Roman" w:eastAsia="Times New Roman" w:hAnsi="Times New Roman" w:cs="Times New Roman"/>
          <w:sz w:val="24"/>
          <w:szCs w:val="24"/>
          <w:lang w:val="ro-RO"/>
        </w:rPr>
        <w:t>acordat</w:t>
      </w:r>
      <w:r w:rsidR="009205E8" w:rsidRPr="009205E8">
        <w:rPr>
          <w:rFonts w:ascii="Times New Roman" w:eastAsia="Times New Roman" w:hAnsi="Times New Roman" w:cs="Times New Roman"/>
          <w:sz w:val="24"/>
          <w:szCs w:val="24"/>
          <w:lang w:val="ro-RO"/>
        </w:rPr>
        <w:t xml:space="preserve"> </w:t>
      </w:r>
      <w:r w:rsidR="009205E8">
        <w:rPr>
          <w:rFonts w:ascii="Times New Roman" w:eastAsia="Times New Roman" w:hAnsi="Times New Roman" w:cs="Times New Roman"/>
          <w:sz w:val="24"/>
          <w:szCs w:val="24"/>
          <w:lang w:val="ro-RO"/>
        </w:rPr>
        <w:t xml:space="preserve">populației și </w:t>
      </w:r>
      <w:r w:rsidR="009205E8" w:rsidRPr="009205E8">
        <w:rPr>
          <w:rFonts w:ascii="Times New Roman" w:eastAsia="Times New Roman" w:hAnsi="Times New Roman" w:cs="Times New Roman"/>
          <w:sz w:val="24"/>
          <w:szCs w:val="24"/>
          <w:lang w:val="ro-RO"/>
        </w:rPr>
        <w:t>companii</w:t>
      </w:r>
      <w:r w:rsidR="00896D97">
        <w:rPr>
          <w:rFonts w:ascii="Times New Roman" w:eastAsia="Times New Roman" w:hAnsi="Times New Roman" w:cs="Times New Roman"/>
          <w:sz w:val="24"/>
          <w:szCs w:val="24"/>
          <w:lang w:val="ro-RO"/>
        </w:rPr>
        <w:t>lor nefinanciare, în ianuarie</w:t>
      </w:r>
      <w:r w:rsidR="009205E8">
        <w:rPr>
          <w:rFonts w:ascii="Times New Roman" w:eastAsia="Times New Roman" w:hAnsi="Times New Roman" w:cs="Times New Roman"/>
          <w:sz w:val="24"/>
          <w:szCs w:val="24"/>
          <w:lang w:val="ro-RO"/>
        </w:rPr>
        <w:t xml:space="preserve"> 2008, a fost de 24%</w:t>
      </w:r>
      <w:r w:rsidR="00896D97">
        <w:rPr>
          <w:rFonts w:ascii="Times New Roman" w:eastAsia="Times New Roman" w:hAnsi="Times New Roman" w:cs="Times New Roman"/>
          <w:sz w:val="24"/>
          <w:szCs w:val="24"/>
          <w:lang w:val="ro-RO"/>
        </w:rPr>
        <w:t>,</w:t>
      </w:r>
      <w:r w:rsidR="00A9789E" w:rsidRPr="00A9789E">
        <w:t xml:space="preserve"> </w:t>
      </w:r>
      <w:r w:rsidR="00896D97">
        <w:rPr>
          <w:rFonts w:ascii="Times New Roman" w:eastAsia="Times New Roman" w:hAnsi="Times New Roman" w:cs="Times New Roman"/>
          <w:sz w:val="24"/>
          <w:szCs w:val="24"/>
          <w:lang w:val="ro-RO"/>
        </w:rPr>
        <w:t>rata</w:t>
      </w:r>
      <w:r w:rsidR="00A9789E" w:rsidRPr="00A9789E">
        <w:rPr>
          <w:rFonts w:ascii="Times New Roman" w:eastAsia="Times New Roman" w:hAnsi="Times New Roman" w:cs="Times New Roman"/>
          <w:sz w:val="24"/>
          <w:szCs w:val="24"/>
          <w:lang w:val="ro-RO"/>
        </w:rPr>
        <w:t xml:space="preserve"> anuală de </w:t>
      </w:r>
      <w:r w:rsidR="00A9789E">
        <w:rPr>
          <w:rFonts w:ascii="Times New Roman" w:eastAsia="Times New Roman" w:hAnsi="Times New Roman" w:cs="Times New Roman"/>
          <w:sz w:val="24"/>
          <w:szCs w:val="24"/>
          <w:lang w:val="ro-RO"/>
        </w:rPr>
        <w:t xml:space="preserve">creştere a creditului în valută acordat </w:t>
      </w:r>
      <w:r w:rsidR="00A9789E" w:rsidRPr="00A9789E">
        <w:rPr>
          <w:rFonts w:ascii="Times New Roman" w:eastAsia="Times New Roman" w:hAnsi="Times New Roman" w:cs="Times New Roman"/>
          <w:sz w:val="24"/>
          <w:szCs w:val="24"/>
          <w:lang w:val="ro-RO"/>
        </w:rPr>
        <w:t xml:space="preserve"> populație</w:t>
      </w:r>
      <w:r w:rsidR="00896D97">
        <w:rPr>
          <w:rFonts w:ascii="Times New Roman" w:eastAsia="Times New Roman" w:hAnsi="Times New Roman" w:cs="Times New Roman"/>
          <w:sz w:val="24"/>
          <w:szCs w:val="24"/>
          <w:lang w:val="ro-RO"/>
        </w:rPr>
        <w:t xml:space="preserve"> era de 124,1</w:t>
      </w:r>
      <w:r w:rsidR="00A9789E">
        <w:rPr>
          <w:rFonts w:ascii="Times New Roman" w:eastAsia="Times New Roman" w:hAnsi="Times New Roman" w:cs="Times New Roman"/>
          <w:sz w:val="24"/>
          <w:szCs w:val="24"/>
          <w:lang w:val="ro-RO"/>
        </w:rPr>
        <w:t>%</w:t>
      </w:r>
      <w:r w:rsidR="00896D97">
        <w:rPr>
          <w:rFonts w:ascii="Times New Roman" w:eastAsia="Times New Roman" w:hAnsi="Times New Roman" w:cs="Times New Roman"/>
          <w:sz w:val="24"/>
          <w:szCs w:val="24"/>
          <w:lang w:val="ro-RO"/>
        </w:rPr>
        <w:t xml:space="preserve"> iar</w:t>
      </w:r>
      <w:r w:rsidR="00A9789E">
        <w:rPr>
          <w:rFonts w:ascii="Times New Roman" w:eastAsia="Times New Roman" w:hAnsi="Times New Roman" w:cs="Times New Roman"/>
          <w:sz w:val="24"/>
          <w:szCs w:val="24"/>
          <w:lang w:val="ro-RO"/>
        </w:rPr>
        <w:t xml:space="preserve"> </w:t>
      </w:r>
      <w:r w:rsidR="00896D97" w:rsidRPr="00896D97">
        <w:rPr>
          <w:rFonts w:ascii="Times New Roman" w:eastAsia="Times New Roman" w:hAnsi="Times New Roman" w:cs="Times New Roman"/>
          <w:sz w:val="24"/>
          <w:szCs w:val="24"/>
          <w:lang w:val="ro-RO"/>
        </w:rPr>
        <w:t>rata anuală de creştere a creditu</w:t>
      </w:r>
      <w:r w:rsidR="00896D97">
        <w:rPr>
          <w:rFonts w:ascii="Times New Roman" w:eastAsia="Times New Roman" w:hAnsi="Times New Roman" w:cs="Times New Roman"/>
          <w:sz w:val="24"/>
          <w:szCs w:val="24"/>
          <w:lang w:val="ro-RO"/>
        </w:rPr>
        <w:t>lui în valută acordat  companiilor era de 20,4</w:t>
      </w:r>
      <w:r w:rsidR="00896D97" w:rsidRPr="00896D97">
        <w:rPr>
          <w:rFonts w:ascii="Times New Roman" w:eastAsia="Times New Roman" w:hAnsi="Times New Roman" w:cs="Times New Roman"/>
          <w:sz w:val="24"/>
          <w:szCs w:val="24"/>
          <w:lang w:val="ro-RO"/>
        </w:rPr>
        <w:t>%</w:t>
      </w:r>
      <w:r w:rsidR="00896D97">
        <w:rPr>
          <w:rFonts w:ascii="Times New Roman" w:eastAsia="Times New Roman" w:hAnsi="Times New Roman" w:cs="Times New Roman"/>
          <w:sz w:val="24"/>
          <w:szCs w:val="24"/>
          <w:lang w:val="ro-RO"/>
        </w:rPr>
        <w:t xml:space="preserve"> [15]</w:t>
      </w:r>
      <w:r w:rsidR="009205E8">
        <w:rPr>
          <w:rFonts w:ascii="Times New Roman" w:eastAsia="Times New Roman" w:hAnsi="Times New Roman" w:cs="Times New Roman"/>
          <w:sz w:val="24"/>
          <w:szCs w:val="24"/>
          <w:lang w:val="ro-RO"/>
        </w:rPr>
        <w:t>.</w:t>
      </w:r>
    </w:p>
    <w:p w:rsidR="001375C0" w:rsidRDefault="001375C0" w:rsidP="009205E8">
      <w:pPr>
        <w:widowControl w:val="0"/>
        <w:spacing w:after="0" w:line="240" w:lineRule="auto"/>
        <w:jc w:val="both"/>
        <w:rPr>
          <w:rFonts w:ascii="Times New Roman" w:eastAsia="Times New Roman" w:hAnsi="Times New Roman" w:cs="Times New Roman"/>
          <w:b/>
          <w:color w:val="FF0000"/>
          <w:sz w:val="24"/>
          <w:szCs w:val="24"/>
          <w:lang w:val="ro-RO"/>
        </w:rPr>
      </w:pPr>
      <w:r>
        <w:rPr>
          <w:rFonts w:ascii="Times New Roman" w:eastAsia="Times New Roman" w:hAnsi="Times New Roman" w:cs="Times New Roman"/>
          <w:b/>
          <w:color w:val="FF0000"/>
          <w:sz w:val="24"/>
          <w:szCs w:val="24"/>
          <w:lang w:val="ro-RO"/>
        </w:rPr>
        <w:tab/>
      </w:r>
      <w:r w:rsidR="0072274D" w:rsidRPr="0072274D">
        <w:rPr>
          <w:rFonts w:ascii="Times New Roman" w:eastAsia="Times New Roman" w:hAnsi="Times New Roman" w:cs="Times New Roman"/>
          <w:sz w:val="24"/>
          <w:szCs w:val="24"/>
          <w:lang w:val="ro-RO"/>
        </w:rPr>
        <w:t>Din analiza datelor din tabelul de mai sus se poate trage concluzia că</w:t>
      </w:r>
      <w:r w:rsidR="0072274D" w:rsidRPr="0072274D">
        <w:rPr>
          <w:rFonts w:ascii="Times New Roman" w:eastAsia="Times New Roman" w:hAnsi="Times New Roman" w:cs="Times New Roman"/>
          <w:b/>
          <w:sz w:val="24"/>
          <w:szCs w:val="24"/>
          <w:lang w:val="ro-RO"/>
        </w:rPr>
        <w:t xml:space="preserve"> </w:t>
      </w:r>
      <w:r w:rsidR="0072274D" w:rsidRPr="00F94506">
        <w:rPr>
          <w:rFonts w:ascii="Times New Roman" w:hAnsi="Times New Roman" w:cs="Times New Roman"/>
          <w:sz w:val="24"/>
          <w:szCs w:val="24"/>
          <w:lang w:val="ro-RO"/>
        </w:rPr>
        <w:t>gradul de îndatorare financiară a agenţilor economici</w:t>
      </w:r>
      <w:r w:rsidR="0072274D">
        <w:rPr>
          <w:rFonts w:ascii="Times New Roman" w:hAnsi="Times New Roman" w:cs="Times New Roman"/>
          <w:sz w:val="24"/>
          <w:szCs w:val="24"/>
          <w:lang w:val="ro-RO"/>
        </w:rPr>
        <w:t xml:space="preserve"> a influențat nivelul creditelor neperformante.În anii 2010,</w:t>
      </w:r>
      <w:r w:rsidR="0082774D">
        <w:rPr>
          <w:rFonts w:ascii="Times New Roman" w:hAnsi="Times New Roman" w:cs="Times New Roman"/>
          <w:sz w:val="24"/>
          <w:szCs w:val="24"/>
          <w:lang w:val="ro-RO"/>
        </w:rPr>
        <w:t xml:space="preserve"> </w:t>
      </w:r>
      <w:r w:rsidR="0072274D">
        <w:rPr>
          <w:rFonts w:ascii="Times New Roman" w:hAnsi="Times New Roman" w:cs="Times New Roman"/>
          <w:sz w:val="24"/>
          <w:szCs w:val="24"/>
          <w:lang w:val="ro-RO"/>
        </w:rPr>
        <w:t>2011</w:t>
      </w:r>
      <w:r w:rsidR="0072274D" w:rsidRPr="0072274D">
        <w:rPr>
          <w:rFonts w:ascii="Times New Roman" w:hAnsi="Times New Roman" w:cs="Times New Roman"/>
          <w:sz w:val="24"/>
          <w:szCs w:val="24"/>
          <w:lang w:val="ro-RO"/>
        </w:rPr>
        <w:t xml:space="preserve"> </w:t>
      </w:r>
      <w:r w:rsidR="0072274D">
        <w:rPr>
          <w:rFonts w:ascii="Times New Roman" w:hAnsi="Times New Roman" w:cs="Times New Roman"/>
          <w:sz w:val="24"/>
          <w:szCs w:val="24"/>
          <w:lang w:val="ro-RO"/>
        </w:rPr>
        <w:t>și</w:t>
      </w:r>
      <w:r w:rsidR="00480F07">
        <w:rPr>
          <w:rFonts w:ascii="Times New Roman" w:hAnsi="Times New Roman" w:cs="Times New Roman"/>
          <w:sz w:val="24"/>
          <w:szCs w:val="24"/>
          <w:lang w:val="ro-RO"/>
        </w:rPr>
        <w:t xml:space="preserve"> 2012</w:t>
      </w:r>
      <w:r w:rsidR="0072274D">
        <w:rPr>
          <w:rFonts w:ascii="Times New Roman" w:hAnsi="Times New Roman" w:cs="Times New Roman"/>
          <w:sz w:val="24"/>
          <w:szCs w:val="24"/>
          <w:lang w:val="ro-RO"/>
        </w:rPr>
        <w:t>, ponderea îndatorării totale înregistrează cele mai mari niveluri</w:t>
      </w:r>
      <w:r w:rsidR="00480F07">
        <w:rPr>
          <w:rFonts w:ascii="Times New Roman" w:hAnsi="Times New Roman" w:cs="Times New Roman"/>
          <w:sz w:val="24"/>
          <w:szCs w:val="24"/>
          <w:lang w:val="ro-RO"/>
        </w:rPr>
        <w:t xml:space="preserve"> (60,97%,56,80% și 56,51%)</w:t>
      </w:r>
      <w:r w:rsidR="0072274D">
        <w:rPr>
          <w:rFonts w:ascii="Times New Roman" w:hAnsi="Times New Roman" w:cs="Times New Roman"/>
          <w:sz w:val="24"/>
          <w:szCs w:val="24"/>
          <w:lang w:val="ro-RO"/>
        </w:rPr>
        <w:t>.</w:t>
      </w:r>
      <w:r w:rsidR="00480F07">
        <w:rPr>
          <w:rFonts w:ascii="Times New Roman" w:hAnsi="Times New Roman" w:cs="Times New Roman"/>
          <w:sz w:val="24"/>
          <w:szCs w:val="24"/>
          <w:lang w:val="ro-RO"/>
        </w:rPr>
        <w:t xml:space="preserve"> </w:t>
      </w:r>
      <w:r w:rsidR="0072274D">
        <w:rPr>
          <w:rFonts w:ascii="Times New Roman" w:hAnsi="Times New Roman" w:cs="Times New Roman"/>
          <w:sz w:val="24"/>
          <w:szCs w:val="24"/>
          <w:lang w:val="ro-RO"/>
        </w:rPr>
        <w:t>Deci, se poate constata existența unei legături directe</w:t>
      </w:r>
      <w:r w:rsidR="00480F07">
        <w:rPr>
          <w:rFonts w:ascii="Times New Roman" w:hAnsi="Times New Roman" w:cs="Times New Roman"/>
          <w:sz w:val="24"/>
          <w:szCs w:val="24"/>
          <w:lang w:val="ro-RO"/>
        </w:rPr>
        <w:t xml:space="preserve"> </w:t>
      </w:r>
      <w:r w:rsidR="00007FC1">
        <w:rPr>
          <w:rFonts w:ascii="Times New Roman" w:hAnsi="Times New Roman" w:cs="Times New Roman"/>
          <w:sz w:val="24"/>
          <w:szCs w:val="24"/>
          <w:lang w:val="ro-RO"/>
        </w:rPr>
        <w:t>cu  nivelul ridicat</w:t>
      </w:r>
      <w:r w:rsidR="0072274D">
        <w:rPr>
          <w:rFonts w:ascii="Times New Roman" w:hAnsi="Times New Roman" w:cs="Times New Roman"/>
          <w:sz w:val="24"/>
          <w:szCs w:val="24"/>
          <w:lang w:val="ro-RO"/>
        </w:rPr>
        <w:t xml:space="preserve"> a</w:t>
      </w:r>
      <w:r w:rsidR="00007FC1">
        <w:rPr>
          <w:rFonts w:ascii="Times New Roman" w:hAnsi="Times New Roman" w:cs="Times New Roman"/>
          <w:sz w:val="24"/>
          <w:szCs w:val="24"/>
          <w:lang w:val="ro-RO"/>
        </w:rPr>
        <w:t>l</w:t>
      </w:r>
      <w:r w:rsidR="0072274D">
        <w:rPr>
          <w:rFonts w:ascii="Times New Roman" w:hAnsi="Times New Roman" w:cs="Times New Roman"/>
          <w:sz w:val="24"/>
          <w:szCs w:val="24"/>
          <w:lang w:val="ro-RO"/>
        </w:rPr>
        <w:t xml:space="preserve"> creditului neperformant înregistrat în această perioadă</w:t>
      </w:r>
      <w:r w:rsidR="00480F07">
        <w:rPr>
          <w:rFonts w:ascii="Times New Roman" w:hAnsi="Times New Roman" w:cs="Times New Roman"/>
          <w:sz w:val="24"/>
          <w:szCs w:val="24"/>
          <w:lang w:val="ro-RO"/>
        </w:rPr>
        <w:t xml:space="preserve"> și </w:t>
      </w:r>
      <w:r w:rsidR="0082774D">
        <w:rPr>
          <w:rFonts w:ascii="Times New Roman" w:hAnsi="Times New Roman" w:cs="Times New Roman"/>
          <w:sz w:val="24"/>
          <w:szCs w:val="24"/>
          <w:lang w:val="ro-RO"/>
        </w:rPr>
        <w:t xml:space="preserve">în </w:t>
      </w:r>
      <w:r w:rsidR="00480F07">
        <w:rPr>
          <w:rFonts w:ascii="Times New Roman" w:hAnsi="Times New Roman" w:cs="Times New Roman"/>
          <w:sz w:val="24"/>
          <w:szCs w:val="24"/>
          <w:lang w:val="ro-RO"/>
        </w:rPr>
        <w:t>anii următori</w:t>
      </w:r>
      <w:r w:rsidR="0072274D">
        <w:rPr>
          <w:rFonts w:ascii="Times New Roman" w:hAnsi="Times New Roman" w:cs="Times New Roman"/>
          <w:sz w:val="24"/>
          <w:szCs w:val="24"/>
          <w:lang w:val="ro-RO"/>
        </w:rPr>
        <w:t>.</w:t>
      </w:r>
    </w:p>
    <w:p w:rsidR="000F185B" w:rsidRDefault="00896D97" w:rsidP="009205E8">
      <w:pPr>
        <w:widowControl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r w:rsidRPr="00896D97">
        <w:rPr>
          <w:rFonts w:ascii="Times New Roman" w:eastAsia="Times New Roman" w:hAnsi="Times New Roman" w:cs="Times New Roman"/>
          <w:sz w:val="24"/>
          <w:szCs w:val="24"/>
          <w:lang w:val="ro-RO"/>
        </w:rPr>
        <w:t>O altă cauză a înregistrării de credite neperformante este</w:t>
      </w:r>
      <w:r>
        <w:rPr>
          <w:rFonts w:ascii="Times New Roman" w:eastAsia="Times New Roman" w:hAnsi="Times New Roman" w:cs="Times New Roman"/>
          <w:sz w:val="24"/>
          <w:szCs w:val="24"/>
          <w:lang w:val="ro-RO"/>
        </w:rPr>
        <w:t xml:space="preserve"> acordarea de credite în valută populației și firmelor care nu obțin venituri în valuta cr</w:t>
      </w:r>
      <w:r w:rsidR="000F185B">
        <w:rPr>
          <w:rFonts w:ascii="Times New Roman" w:eastAsia="Times New Roman" w:hAnsi="Times New Roman" w:cs="Times New Roman"/>
          <w:sz w:val="24"/>
          <w:szCs w:val="24"/>
          <w:lang w:val="ro-RO"/>
        </w:rPr>
        <w:t>editului.</w:t>
      </w:r>
      <w:r w:rsidR="00FF022D">
        <w:rPr>
          <w:rFonts w:ascii="Times New Roman" w:eastAsia="Times New Roman" w:hAnsi="Times New Roman" w:cs="Times New Roman"/>
          <w:sz w:val="24"/>
          <w:szCs w:val="24"/>
          <w:lang w:val="ro-RO"/>
        </w:rPr>
        <w:t xml:space="preserve"> </w:t>
      </w:r>
      <w:r w:rsidR="000F185B">
        <w:rPr>
          <w:rFonts w:ascii="Times New Roman" w:eastAsia="Times New Roman" w:hAnsi="Times New Roman" w:cs="Times New Roman"/>
          <w:sz w:val="24"/>
          <w:szCs w:val="24"/>
          <w:lang w:val="ro-RO"/>
        </w:rPr>
        <w:t>În perioada 2000</w:t>
      </w:r>
      <w:r w:rsidR="000F185B" w:rsidRPr="00772CA9">
        <w:rPr>
          <w:rFonts w:ascii="Times New Roman" w:eastAsia="Times New Roman" w:hAnsi="Times New Roman" w:cs="Times New Roman"/>
          <w:b/>
          <w:sz w:val="24"/>
          <w:szCs w:val="24"/>
          <w:lang w:val="ro-RO"/>
        </w:rPr>
        <w:t>-</w:t>
      </w:r>
      <w:r w:rsidR="000F185B">
        <w:rPr>
          <w:rFonts w:ascii="Times New Roman" w:eastAsia="Times New Roman" w:hAnsi="Times New Roman" w:cs="Times New Roman"/>
          <w:sz w:val="24"/>
          <w:szCs w:val="24"/>
          <w:lang w:val="ro-RO"/>
        </w:rPr>
        <w:t>2011 creditul în valută a fost preponderent în total credite (în anul 2011, de exemplu, reprezenta 63,4% din total credite).Această tendință a culminat cu acordarea de împrumuturi în franci elvețieni sau yeni japonezi.</w:t>
      </w:r>
    </w:p>
    <w:p w:rsidR="00186176" w:rsidRDefault="00186176" w:rsidP="00186176">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o-RO"/>
        </w:rPr>
        <w:tab/>
        <w:t>Conform unui studiu efectuat de către BNR</w:t>
      </w:r>
      <w:r w:rsidR="00FF022D">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ponderea</w:t>
      </w:r>
      <w:r w:rsidRPr="00186176">
        <w:rPr>
          <w:rFonts w:ascii="Times New Roman" w:eastAsia="Times New Roman" w:hAnsi="Times New Roman" w:cs="Times New Roman"/>
          <w:sz w:val="24"/>
          <w:szCs w:val="24"/>
          <w:lang w:val="ro-RO"/>
        </w:rPr>
        <w:t xml:space="preserve"> credite</w:t>
      </w:r>
      <w:r>
        <w:rPr>
          <w:rFonts w:ascii="Times New Roman" w:eastAsia="Times New Roman" w:hAnsi="Times New Roman" w:cs="Times New Roman"/>
          <w:sz w:val="24"/>
          <w:szCs w:val="24"/>
          <w:lang w:val="ro-RO"/>
        </w:rPr>
        <w:t>lor în franci elvețieni</w:t>
      </w:r>
      <w:r w:rsidRPr="00186176">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r w:rsidRPr="00186176">
        <w:rPr>
          <w:rFonts w:ascii="Times New Roman" w:eastAsia="Times New Roman" w:hAnsi="Times New Roman" w:cs="Times New Roman"/>
          <w:i/>
          <w:sz w:val="24"/>
          <w:szCs w:val="24"/>
          <w:lang w:val="ro-RO"/>
        </w:rPr>
        <w:t>se ridică la circa 10 la sută din volumul total al creditelor acordate populaţiei, iar numărul persoanelor fizice care au contractat credite în CHF reprezintă 2,1 la sută din numărul total al debitorilor din această categorie (respectiv 75 412 persoane).</w:t>
      </w:r>
      <w:r>
        <w:rPr>
          <w:rFonts w:ascii="Times New Roman" w:eastAsia="Times New Roman" w:hAnsi="Times New Roman" w:cs="Times New Roman"/>
          <w:sz w:val="24"/>
          <w:szCs w:val="24"/>
          <w:lang w:val="ro-RO"/>
        </w:rPr>
        <w:t>”</w:t>
      </w:r>
      <w:r w:rsidR="00905A6C">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w:t>
      </w:r>
    </w:p>
    <w:p w:rsidR="00186176" w:rsidRDefault="00186176" w:rsidP="00186176">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Practic, d</w:t>
      </w:r>
      <w:r w:rsidRPr="00186176">
        <w:rPr>
          <w:rFonts w:ascii="Times New Roman" w:eastAsia="Times New Roman" w:hAnsi="Times New Roman" w:cs="Times New Roman"/>
          <w:sz w:val="24"/>
          <w:szCs w:val="24"/>
        </w:rPr>
        <w:t>ecizia Băncii Naţionale a Elveţiei de renunţare la prag</w:t>
      </w:r>
      <w:r>
        <w:rPr>
          <w:rFonts w:ascii="Times New Roman" w:eastAsia="Times New Roman" w:hAnsi="Times New Roman" w:cs="Times New Roman"/>
          <w:sz w:val="24"/>
          <w:szCs w:val="24"/>
        </w:rPr>
        <w:t xml:space="preserve">ul de 1,2 CHF pentru un EUR a dus la </w:t>
      </w:r>
      <w:r w:rsidRPr="00186176">
        <w:rPr>
          <w:rFonts w:ascii="Times New Roman" w:eastAsia="Times New Roman" w:hAnsi="Times New Roman" w:cs="Times New Roman"/>
          <w:sz w:val="24"/>
          <w:szCs w:val="24"/>
        </w:rPr>
        <w:t>apreci</w:t>
      </w:r>
      <w:r>
        <w:rPr>
          <w:rFonts w:ascii="Times New Roman" w:eastAsia="Times New Roman" w:hAnsi="Times New Roman" w:cs="Times New Roman"/>
          <w:sz w:val="24"/>
          <w:szCs w:val="24"/>
        </w:rPr>
        <w:t>erea CHF față de RON şi a generat</w:t>
      </w:r>
      <w:r w:rsidRPr="00186176">
        <w:rPr>
          <w:rFonts w:ascii="Times New Roman" w:eastAsia="Times New Roman" w:hAnsi="Times New Roman" w:cs="Times New Roman"/>
          <w:sz w:val="24"/>
          <w:szCs w:val="24"/>
        </w:rPr>
        <w:t xml:space="preserve"> creşterea serviciul</w:t>
      </w:r>
      <w:r>
        <w:rPr>
          <w:rFonts w:ascii="Times New Roman" w:eastAsia="Times New Roman" w:hAnsi="Times New Roman" w:cs="Times New Roman"/>
          <w:sz w:val="24"/>
          <w:szCs w:val="24"/>
        </w:rPr>
        <w:t xml:space="preserve">ui datoriei pentru </w:t>
      </w:r>
      <w:r w:rsidRPr="00186176">
        <w:rPr>
          <w:rFonts w:ascii="Times New Roman" w:eastAsia="Times New Roman" w:hAnsi="Times New Roman" w:cs="Times New Roman"/>
          <w:sz w:val="24"/>
          <w:szCs w:val="24"/>
        </w:rPr>
        <w:t xml:space="preserve">toți </w:t>
      </w:r>
      <w:r>
        <w:rPr>
          <w:rFonts w:ascii="Times New Roman" w:eastAsia="Times New Roman" w:hAnsi="Times New Roman" w:cs="Times New Roman"/>
          <w:sz w:val="24"/>
          <w:szCs w:val="24"/>
        </w:rPr>
        <w:t xml:space="preserve">debitorii în </w:t>
      </w:r>
      <w:r w:rsidRPr="00186176">
        <w:rPr>
          <w:rFonts w:ascii="Times New Roman" w:eastAsia="Times New Roman" w:hAnsi="Times New Roman" w:cs="Times New Roman"/>
          <w:sz w:val="24"/>
          <w:szCs w:val="24"/>
        </w:rPr>
        <w:t>franci elveţieni.</w:t>
      </w:r>
    </w:p>
    <w:p w:rsidR="00896D97" w:rsidRPr="00186176" w:rsidRDefault="00186176" w:rsidP="00186176">
      <w:pPr>
        <w:widowControl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Ca urmare a celor arătate mai sus „</w:t>
      </w:r>
      <w:r w:rsidRPr="00186176">
        <w:rPr>
          <w:rFonts w:ascii="Times New Roman" w:eastAsia="Times New Roman" w:hAnsi="Times New Roman" w:cs="Times New Roman"/>
          <w:i/>
          <w:sz w:val="24"/>
          <w:szCs w:val="24"/>
          <w:lang w:val="ro-RO"/>
        </w:rPr>
        <w:t>Riscul de credit este relativ mai ridicat pentru creditele în CHF comparativ cu alte monede (rata de neperformanţă este de 12 la sută la creditele în CHF faţă de 9,4 la sută pentru toate creditele în valută, în noiembrie 2014)</w:t>
      </w:r>
      <w:r w:rsidR="000F185B" w:rsidRPr="00186176">
        <w:rPr>
          <w:rFonts w:ascii="Times New Roman" w:eastAsia="Times New Roman" w:hAnsi="Times New Roman" w:cs="Times New Roman"/>
          <w:i/>
          <w:sz w:val="24"/>
          <w:szCs w:val="24"/>
          <w:lang w:val="ro-RO"/>
        </w:rPr>
        <w:tab/>
      </w:r>
      <w:r>
        <w:rPr>
          <w:rFonts w:ascii="Times New Roman" w:eastAsia="Times New Roman" w:hAnsi="Times New Roman" w:cs="Times New Roman"/>
          <w:sz w:val="24"/>
          <w:szCs w:val="24"/>
          <w:lang w:val="ro-RO"/>
        </w:rPr>
        <w:t>.”</w:t>
      </w:r>
      <w:r w:rsidR="00905A6C">
        <w:rPr>
          <w:rFonts w:ascii="Times New Roman" w:eastAsia="Times New Roman" w:hAnsi="Times New Roman" w:cs="Times New Roman"/>
          <w:sz w:val="24"/>
          <w:szCs w:val="24"/>
        </w:rPr>
        <w:t>[17</w:t>
      </w:r>
      <w:r>
        <w:rPr>
          <w:rFonts w:ascii="Times New Roman" w:eastAsia="Times New Roman" w:hAnsi="Times New Roman" w:cs="Times New Roman"/>
          <w:sz w:val="24"/>
          <w:szCs w:val="24"/>
        </w:rPr>
        <w:t>]</w:t>
      </w:r>
      <w:r w:rsidR="00896D97">
        <w:rPr>
          <w:rFonts w:ascii="Times New Roman" w:eastAsia="Times New Roman" w:hAnsi="Times New Roman" w:cs="Times New Roman"/>
          <w:sz w:val="24"/>
          <w:szCs w:val="24"/>
          <w:lang w:val="ro-RO"/>
        </w:rPr>
        <w:t xml:space="preserve"> </w:t>
      </w:r>
    </w:p>
    <w:p w:rsidR="00243D47" w:rsidRDefault="00905A6C" w:rsidP="009205E8">
      <w:pPr>
        <w:widowControl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Din analiza e</w:t>
      </w:r>
      <w:r w:rsidR="00C25307" w:rsidRPr="00896D97">
        <w:rPr>
          <w:rFonts w:ascii="Times New Roman" w:eastAsia="Times New Roman" w:hAnsi="Times New Roman" w:cs="Times New Roman"/>
          <w:sz w:val="24"/>
          <w:szCs w:val="24"/>
          <w:lang w:val="ro-RO"/>
        </w:rPr>
        <w:t>cartul</w:t>
      </w:r>
      <w:r>
        <w:rPr>
          <w:rFonts w:ascii="Times New Roman" w:eastAsia="Times New Roman" w:hAnsi="Times New Roman" w:cs="Times New Roman"/>
          <w:sz w:val="24"/>
          <w:szCs w:val="24"/>
          <w:lang w:val="ro-RO"/>
        </w:rPr>
        <w:t>ui dobânzilor</w:t>
      </w:r>
      <w:r w:rsidR="00C25307" w:rsidRPr="00896D97">
        <w:rPr>
          <w:rFonts w:ascii="Times New Roman" w:eastAsia="Times New Roman" w:hAnsi="Times New Roman" w:cs="Times New Roman"/>
          <w:sz w:val="24"/>
          <w:szCs w:val="24"/>
          <w:lang w:val="ro-RO"/>
        </w:rPr>
        <w:t xml:space="preserve"> ROBOR</w:t>
      </w:r>
      <w:r w:rsidR="00C25307" w:rsidRPr="00905A6C">
        <w:rPr>
          <w:rFonts w:ascii="Times New Roman" w:eastAsia="Times New Roman" w:hAnsi="Times New Roman" w:cs="Times New Roman"/>
          <w:b/>
          <w:sz w:val="24"/>
          <w:szCs w:val="24"/>
          <w:lang w:val="ro-RO"/>
        </w:rPr>
        <w:t>-</w:t>
      </w:r>
      <w:r w:rsidR="00C25307" w:rsidRPr="00896D97">
        <w:rPr>
          <w:rFonts w:ascii="Times New Roman" w:eastAsia="Times New Roman" w:hAnsi="Times New Roman" w:cs="Times New Roman"/>
          <w:sz w:val="24"/>
          <w:szCs w:val="24"/>
          <w:lang w:val="ro-RO"/>
        </w:rPr>
        <w:t>EURIBOR 3M</w:t>
      </w:r>
      <w:r w:rsidR="00007FC1" w:rsidRPr="00896D97">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rezultă că în </w:t>
      </w:r>
      <w:r w:rsidR="00007FC1" w:rsidRPr="00896D97">
        <w:rPr>
          <w:rFonts w:ascii="Times New Roman" w:eastAsia="Times New Roman" w:hAnsi="Times New Roman" w:cs="Times New Roman"/>
          <w:sz w:val="24"/>
          <w:szCs w:val="24"/>
          <w:lang w:val="ro-RO"/>
        </w:rPr>
        <w:t>era în martie 2013 de 5,24</w:t>
      </w:r>
      <w:r>
        <w:rPr>
          <w:rFonts w:ascii="Times New Roman" w:eastAsia="Times New Roman" w:hAnsi="Times New Roman" w:cs="Times New Roman"/>
          <w:sz w:val="24"/>
          <w:szCs w:val="24"/>
          <w:lang w:val="ro-RO"/>
        </w:rPr>
        <w:t>, ceea ce dovedește faptul că băncile, în goana după profit solicită dobânzi ridicate, cu impact, în timp, asupra capacității de rambursare a debitorilor, cu efect asupra creșterii nivelului creditelor neperformante.Și în anii următori, după cum se obse</w:t>
      </w:r>
      <w:r w:rsidR="00FF022D">
        <w:rPr>
          <w:rFonts w:ascii="Times New Roman" w:eastAsia="Times New Roman" w:hAnsi="Times New Roman" w:cs="Times New Roman"/>
          <w:sz w:val="24"/>
          <w:szCs w:val="24"/>
          <w:lang w:val="ro-RO"/>
        </w:rPr>
        <w:t>rvă î</w:t>
      </w:r>
      <w:r>
        <w:rPr>
          <w:rFonts w:ascii="Times New Roman" w:eastAsia="Times New Roman" w:hAnsi="Times New Roman" w:cs="Times New Roman"/>
          <w:sz w:val="24"/>
          <w:szCs w:val="24"/>
          <w:lang w:val="ro-RO"/>
        </w:rPr>
        <w:t xml:space="preserve">n tabel, </w:t>
      </w:r>
      <w:r>
        <w:rPr>
          <w:rFonts w:ascii="Times New Roman" w:eastAsia="Times New Roman" w:hAnsi="Times New Roman" w:cs="Times New Roman"/>
          <w:sz w:val="24"/>
          <w:szCs w:val="24"/>
          <w:lang w:val="ro-RO"/>
        </w:rPr>
        <w:lastRenderedPageBreak/>
        <w:t xml:space="preserve">se menține </w:t>
      </w:r>
      <w:r w:rsidR="00FF022D">
        <w:rPr>
          <w:rFonts w:ascii="Times New Roman" w:eastAsia="Times New Roman" w:hAnsi="Times New Roman" w:cs="Times New Roman"/>
          <w:sz w:val="24"/>
          <w:szCs w:val="24"/>
          <w:lang w:val="ro-RO"/>
        </w:rPr>
        <w:t>un ecart mare</w:t>
      </w:r>
      <w:r>
        <w:rPr>
          <w:rFonts w:ascii="Times New Roman" w:eastAsia="Times New Roman" w:hAnsi="Times New Roman" w:cs="Times New Roman"/>
          <w:sz w:val="24"/>
          <w:szCs w:val="24"/>
          <w:lang w:val="ro-RO"/>
        </w:rPr>
        <w:t xml:space="preserve"> dintre </w:t>
      </w:r>
      <w:r w:rsidRPr="00905A6C">
        <w:rPr>
          <w:rFonts w:ascii="Times New Roman" w:eastAsia="Times New Roman" w:hAnsi="Times New Roman" w:cs="Times New Roman"/>
          <w:sz w:val="24"/>
          <w:szCs w:val="24"/>
          <w:lang w:val="ro-RO"/>
        </w:rPr>
        <w:t>ROBOR</w:t>
      </w:r>
      <w:r>
        <w:rPr>
          <w:rFonts w:ascii="Times New Roman" w:eastAsia="Times New Roman" w:hAnsi="Times New Roman" w:cs="Times New Roman"/>
          <w:b/>
          <w:sz w:val="24"/>
          <w:szCs w:val="24"/>
          <w:lang w:val="ro-RO"/>
        </w:rPr>
        <w:t xml:space="preserve"> </w:t>
      </w:r>
      <w:r w:rsidRPr="00905A6C">
        <w:rPr>
          <w:rFonts w:ascii="Times New Roman" w:eastAsia="Times New Roman" w:hAnsi="Times New Roman" w:cs="Times New Roman"/>
          <w:sz w:val="24"/>
          <w:szCs w:val="24"/>
          <w:lang w:val="ro-RO"/>
        </w:rPr>
        <w:t>și</w:t>
      </w:r>
      <w:r>
        <w:rPr>
          <w:rFonts w:ascii="Times New Roman" w:eastAsia="Times New Roman" w:hAnsi="Times New Roman" w:cs="Times New Roman"/>
          <w:b/>
          <w:sz w:val="24"/>
          <w:szCs w:val="24"/>
          <w:lang w:val="ro-RO"/>
        </w:rPr>
        <w:t xml:space="preserve"> </w:t>
      </w:r>
      <w:r w:rsidRPr="00905A6C">
        <w:rPr>
          <w:rFonts w:ascii="Times New Roman" w:eastAsia="Times New Roman" w:hAnsi="Times New Roman" w:cs="Times New Roman"/>
          <w:sz w:val="24"/>
          <w:szCs w:val="24"/>
          <w:lang w:val="ro-RO"/>
        </w:rPr>
        <w:t>EURIBOR</w:t>
      </w:r>
      <w:r>
        <w:rPr>
          <w:rFonts w:ascii="Times New Roman" w:eastAsia="Times New Roman" w:hAnsi="Times New Roman" w:cs="Times New Roman"/>
          <w:sz w:val="24"/>
          <w:szCs w:val="24"/>
          <w:lang w:val="ro-RO"/>
        </w:rPr>
        <w:t>.</w:t>
      </w:r>
    </w:p>
    <w:p w:rsidR="00FF022D" w:rsidRPr="00896D97" w:rsidRDefault="00FF022D" w:rsidP="007027FD">
      <w:pPr>
        <w:widowControl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Pentru a ține pasul cu ritmul mare de schimbări ce au loc la nivelul activității bancare, personalul trebuie pregătit continuu</w:t>
      </w:r>
      <w:r w:rsidR="007D6FE3">
        <w:rPr>
          <w:rFonts w:ascii="Times New Roman" w:eastAsia="Times New Roman" w:hAnsi="Times New Roman" w:cs="Times New Roman"/>
          <w:sz w:val="24"/>
          <w:szCs w:val="24"/>
          <w:lang w:val="ro-RO"/>
        </w:rPr>
        <w:t>.Din dorința de a face economii, băncile nu au politici coerente și consistente de pregătire a personalului</w:t>
      </w:r>
      <w:r w:rsidR="007027FD">
        <w:rPr>
          <w:rFonts w:ascii="Times New Roman" w:eastAsia="Times New Roman" w:hAnsi="Times New Roman" w:cs="Times New Roman"/>
          <w:sz w:val="24"/>
          <w:szCs w:val="24"/>
          <w:lang w:val="ro-RO"/>
        </w:rPr>
        <w:t>.</w:t>
      </w:r>
      <w:r w:rsidR="007027FD" w:rsidRPr="007027FD">
        <w:t xml:space="preserve"> </w:t>
      </w:r>
      <w:r w:rsidR="007027FD" w:rsidRPr="007027FD">
        <w:rPr>
          <w:rFonts w:ascii="Times New Roman" w:eastAsia="Times New Roman" w:hAnsi="Times New Roman" w:cs="Times New Roman"/>
          <w:sz w:val="24"/>
          <w:szCs w:val="24"/>
          <w:lang w:val="ro-RO"/>
        </w:rPr>
        <w:t>Cheltuielile anuale medii ale băncilor din România pentru pregătirea profesională a un</w:t>
      </w:r>
      <w:r w:rsidR="007027FD">
        <w:rPr>
          <w:rFonts w:ascii="Times New Roman" w:eastAsia="Times New Roman" w:hAnsi="Times New Roman" w:cs="Times New Roman"/>
          <w:sz w:val="24"/>
          <w:szCs w:val="24"/>
          <w:lang w:val="ro-RO"/>
        </w:rPr>
        <w:t xml:space="preserve">ui angajat sunt relativ reduse și </w:t>
      </w:r>
      <w:r w:rsidR="007027FD" w:rsidRPr="007027FD">
        <w:rPr>
          <w:rFonts w:ascii="Times New Roman" w:eastAsia="Times New Roman" w:hAnsi="Times New Roman" w:cs="Times New Roman"/>
          <w:sz w:val="24"/>
          <w:szCs w:val="24"/>
          <w:lang w:val="ro-RO"/>
        </w:rPr>
        <w:t xml:space="preserve">au crescut în perioada de la 490 de lei în anul 2007 la circa 900 de lei în 2016. Angajații implicați în </w:t>
      </w:r>
      <w:r w:rsidR="007027FD">
        <w:rPr>
          <w:rFonts w:ascii="Times New Roman" w:eastAsia="Times New Roman" w:hAnsi="Times New Roman" w:cs="Times New Roman"/>
          <w:sz w:val="24"/>
          <w:szCs w:val="24"/>
          <w:lang w:val="ro-RO"/>
        </w:rPr>
        <w:t>creditare atrag circa 31%</w:t>
      </w:r>
      <w:r w:rsidR="007027FD" w:rsidRPr="007027FD">
        <w:rPr>
          <w:rFonts w:ascii="Times New Roman" w:eastAsia="Times New Roman" w:hAnsi="Times New Roman" w:cs="Times New Roman"/>
          <w:sz w:val="24"/>
          <w:szCs w:val="24"/>
          <w:lang w:val="ro-RO"/>
        </w:rPr>
        <w:t xml:space="preserve"> din sumele alocate pentru pregătire (iunie 2016).</w:t>
      </w:r>
      <w:r w:rsidR="007027FD">
        <w:rPr>
          <w:rFonts w:ascii="Times New Roman" w:eastAsia="Times New Roman" w:hAnsi="Times New Roman" w:cs="Times New Roman"/>
          <w:sz w:val="24"/>
          <w:szCs w:val="24"/>
          <w:lang w:val="ro-RO"/>
        </w:rPr>
        <w:t xml:space="preserve"> </w:t>
      </w:r>
      <w:r w:rsidR="007027FD" w:rsidRPr="007027FD">
        <w:rPr>
          <w:rFonts w:ascii="Times New Roman" w:eastAsia="Times New Roman" w:hAnsi="Times New Roman" w:cs="Times New Roman"/>
          <w:sz w:val="24"/>
          <w:szCs w:val="24"/>
          <w:lang w:val="ro-RO"/>
        </w:rPr>
        <w:t xml:space="preserve">Băncile </w:t>
      </w:r>
      <w:r w:rsidR="007027FD">
        <w:rPr>
          <w:rFonts w:ascii="Times New Roman" w:eastAsia="Times New Roman" w:hAnsi="Times New Roman" w:cs="Times New Roman"/>
          <w:sz w:val="24"/>
          <w:szCs w:val="24"/>
          <w:lang w:val="ro-RO"/>
        </w:rPr>
        <w:t xml:space="preserve">care </w:t>
      </w:r>
      <w:r w:rsidR="007027FD" w:rsidRPr="007027FD">
        <w:rPr>
          <w:rFonts w:ascii="Times New Roman" w:eastAsia="Times New Roman" w:hAnsi="Times New Roman" w:cs="Times New Roman"/>
          <w:sz w:val="24"/>
          <w:szCs w:val="24"/>
          <w:lang w:val="ro-RO"/>
        </w:rPr>
        <w:t xml:space="preserve">au alocat o pondere mai ridicată a cheltuielilor </w:t>
      </w:r>
      <w:r w:rsidR="007027FD">
        <w:rPr>
          <w:rFonts w:ascii="Times New Roman" w:eastAsia="Times New Roman" w:hAnsi="Times New Roman" w:cs="Times New Roman"/>
          <w:sz w:val="24"/>
          <w:szCs w:val="24"/>
          <w:lang w:val="ro-RO"/>
        </w:rPr>
        <w:t xml:space="preserve">de pregătire în cheltuielile cu </w:t>
      </w:r>
      <w:r w:rsidR="007027FD" w:rsidRPr="007027FD">
        <w:rPr>
          <w:rFonts w:ascii="Times New Roman" w:eastAsia="Times New Roman" w:hAnsi="Times New Roman" w:cs="Times New Roman"/>
          <w:sz w:val="24"/>
          <w:szCs w:val="24"/>
          <w:lang w:val="ro-RO"/>
        </w:rPr>
        <w:t xml:space="preserve">personalul în perioada </w:t>
      </w:r>
      <w:r w:rsidR="007027FD">
        <w:rPr>
          <w:rFonts w:ascii="Times New Roman" w:eastAsia="Times New Roman" w:hAnsi="Times New Roman" w:cs="Times New Roman"/>
          <w:sz w:val="24"/>
          <w:szCs w:val="24"/>
          <w:lang w:val="ro-RO"/>
        </w:rPr>
        <w:t xml:space="preserve">dinainte de </w:t>
      </w:r>
      <w:r w:rsidR="007027FD" w:rsidRPr="007027FD">
        <w:rPr>
          <w:rFonts w:ascii="Times New Roman" w:eastAsia="Times New Roman" w:hAnsi="Times New Roman" w:cs="Times New Roman"/>
          <w:sz w:val="24"/>
          <w:szCs w:val="24"/>
          <w:lang w:val="ro-RO"/>
        </w:rPr>
        <w:t>anul 200</w:t>
      </w:r>
      <w:r w:rsidR="007027FD">
        <w:rPr>
          <w:rFonts w:ascii="Times New Roman" w:eastAsia="Times New Roman" w:hAnsi="Times New Roman" w:cs="Times New Roman"/>
          <w:sz w:val="24"/>
          <w:szCs w:val="24"/>
          <w:lang w:val="ro-RO"/>
        </w:rPr>
        <w:t xml:space="preserve">7 au creșteri mai </w:t>
      </w:r>
      <w:r w:rsidR="007027FD" w:rsidRPr="007027FD">
        <w:rPr>
          <w:rFonts w:ascii="Times New Roman" w:eastAsia="Times New Roman" w:hAnsi="Times New Roman" w:cs="Times New Roman"/>
          <w:sz w:val="24"/>
          <w:szCs w:val="24"/>
          <w:lang w:val="ro-RO"/>
        </w:rPr>
        <w:t>mici ale ratei creditelor neperformante în perioada ulterioară</w:t>
      </w:r>
      <w:r w:rsidR="007027FD">
        <w:rPr>
          <w:rFonts w:ascii="Times New Roman" w:eastAsia="Times New Roman" w:hAnsi="Times New Roman" w:cs="Times New Roman"/>
          <w:sz w:val="24"/>
          <w:szCs w:val="24"/>
          <w:lang w:val="ro-RO"/>
        </w:rPr>
        <w:t>.</w:t>
      </w:r>
      <w:r w:rsidR="007027FD">
        <w:rPr>
          <w:rFonts w:ascii="Times New Roman" w:eastAsia="Times New Roman" w:hAnsi="Times New Roman" w:cs="Times New Roman"/>
          <w:sz w:val="24"/>
          <w:szCs w:val="24"/>
        </w:rPr>
        <w:t>[18]</w:t>
      </w:r>
      <w:r w:rsidR="007027FD">
        <w:rPr>
          <w:rFonts w:ascii="Times New Roman" w:eastAsia="Times New Roman" w:hAnsi="Times New Roman" w:cs="Times New Roman"/>
          <w:sz w:val="24"/>
          <w:szCs w:val="24"/>
          <w:lang w:val="ro-RO"/>
        </w:rPr>
        <w:t xml:space="preserve"> </w:t>
      </w:r>
    </w:p>
    <w:p w:rsidR="003E768C" w:rsidRPr="006C207E" w:rsidRDefault="00B17DD6" w:rsidP="006C207E">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lang w:val="ro-RO"/>
        </w:rPr>
        <w:tab/>
      </w:r>
      <w:r w:rsidR="006C207E" w:rsidRPr="006C207E">
        <w:rPr>
          <w:rFonts w:ascii="Times New Roman" w:eastAsia="Times New Roman" w:hAnsi="Times New Roman" w:cs="Times New Roman"/>
          <w:sz w:val="24"/>
          <w:szCs w:val="24"/>
          <w:lang w:val="ro-RO"/>
        </w:rPr>
        <w:t>Educația financiară a populației este de mare importanță atunci când</w:t>
      </w:r>
      <w:r w:rsidR="00145584">
        <w:rPr>
          <w:rFonts w:ascii="Times New Roman" w:eastAsia="Times New Roman" w:hAnsi="Times New Roman" w:cs="Times New Roman"/>
          <w:sz w:val="24"/>
          <w:szCs w:val="24"/>
          <w:lang w:val="ro-RO"/>
        </w:rPr>
        <w:t xml:space="preserve"> populația și firmele își planifică accesarea unui împrumut, când negociază cu banca, când își planifică termenele de rambursare, când știe să lucreze cu banca.</w:t>
      </w:r>
      <w:r w:rsidR="006C207E" w:rsidRPr="006C207E">
        <w:rPr>
          <w:rFonts w:ascii="Times New Roman" w:eastAsia="Times New Roman" w:hAnsi="Times New Roman" w:cs="Times New Roman"/>
          <w:sz w:val="24"/>
          <w:szCs w:val="24"/>
          <w:lang w:val="ro-RO"/>
        </w:rPr>
        <w:t xml:space="preserve"> </w:t>
      </w:r>
      <w:r w:rsidR="00145584">
        <w:rPr>
          <w:rFonts w:ascii="Times New Roman" w:eastAsia="Times New Roman" w:hAnsi="Times New Roman" w:cs="Times New Roman"/>
          <w:sz w:val="24"/>
          <w:szCs w:val="24"/>
          <w:lang w:val="ro-RO"/>
        </w:rPr>
        <w:t>Din nefericire: „</w:t>
      </w:r>
      <w:r w:rsidRPr="00145584">
        <w:rPr>
          <w:rFonts w:ascii="Times New Roman" w:eastAsia="Times New Roman" w:hAnsi="Times New Roman" w:cs="Times New Roman"/>
          <w:i/>
          <w:sz w:val="24"/>
          <w:szCs w:val="24"/>
          <w:lang w:val="ro-RO"/>
        </w:rPr>
        <w:t>Un studiu realizat de agenția de rating Standard&amp;Poor’s a reliefat că, în materie de educație financiară a populației, România se situa pe locul 124 din 143 de state analizate, la egalitate cu țări precum Honduras, Sudan sau Uzbekistan. Doar 21% dintre români dispun de cunoștințe în domeniul financiar și doar 15% economisesc sau investesc pentru a</w:t>
      </w:r>
      <w:r w:rsidRPr="00145584">
        <w:rPr>
          <w:rFonts w:ascii="Times New Roman" w:eastAsia="Times New Roman" w:hAnsi="Times New Roman" w:cs="Times New Roman"/>
          <w:b/>
          <w:i/>
          <w:sz w:val="24"/>
          <w:szCs w:val="24"/>
          <w:lang w:val="ro-RO"/>
        </w:rPr>
        <w:t>-</w:t>
      </w:r>
      <w:r w:rsidRPr="00145584">
        <w:rPr>
          <w:rFonts w:ascii="Times New Roman" w:eastAsia="Times New Roman" w:hAnsi="Times New Roman" w:cs="Times New Roman"/>
          <w:i/>
          <w:sz w:val="24"/>
          <w:szCs w:val="24"/>
          <w:lang w:val="ro-RO"/>
        </w:rPr>
        <w:t>și asigura o pensie suplimentară.</w:t>
      </w:r>
      <w:r w:rsidR="00145584" w:rsidRPr="00145584">
        <w:rPr>
          <w:rFonts w:ascii="Times New Roman" w:eastAsia="Times New Roman" w:hAnsi="Times New Roman" w:cs="Times New Roman"/>
          <w:i/>
          <w:sz w:val="24"/>
          <w:szCs w:val="24"/>
          <w:lang w:val="ro-RO"/>
        </w:rPr>
        <w:t>”</w:t>
      </w:r>
      <w:r w:rsidRPr="00145584">
        <w:rPr>
          <w:rFonts w:ascii="Times New Roman" w:eastAsia="Times New Roman" w:hAnsi="Times New Roman" w:cs="Times New Roman"/>
          <w:sz w:val="24"/>
          <w:szCs w:val="24"/>
        </w:rPr>
        <w:t>[</w:t>
      </w:r>
      <w:r w:rsidRPr="006C207E">
        <w:rPr>
          <w:rFonts w:ascii="Times New Roman" w:eastAsia="Times New Roman" w:hAnsi="Times New Roman" w:cs="Times New Roman"/>
          <w:sz w:val="24"/>
          <w:szCs w:val="24"/>
        </w:rPr>
        <w:t>19]</w:t>
      </w:r>
    </w:p>
    <w:p w:rsidR="00026124" w:rsidRDefault="00026124" w:rsidP="00026124">
      <w:pPr>
        <w:autoSpaceDE w:val="0"/>
        <w:autoSpaceDN w:val="0"/>
        <w:adjustRightInd w:val="0"/>
        <w:spacing w:after="0" w:line="240" w:lineRule="auto"/>
        <w:jc w:val="both"/>
        <w:rPr>
          <w:rFonts w:ascii="TimesNewRomanPSMT" w:hAnsi="TimesNewRomanPSMT" w:cs="TimesNewRomanPSMT"/>
          <w:b/>
          <w:sz w:val="24"/>
          <w:szCs w:val="24"/>
        </w:rPr>
      </w:pPr>
      <w:r w:rsidRPr="00026124">
        <w:rPr>
          <w:rFonts w:ascii="TimesNewRomanPSMT" w:hAnsi="TimesNewRomanPSMT" w:cs="TimesNewRomanPSMT"/>
          <w:b/>
          <w:sz w:val="24"/>
          <w:szCs w:val="24"/>
        </w:rPr>
        <w:t>CONCLUZII</w:t>
      </w:r>
    </w:p>
    <w:p w:rsidR="00145584" w:rsidRPr="006614FF" w:rsidRDefault="00145584" w:rsidP="00145584">
      <w:pPr>
        <w:autoSpaceDE w:val="0"/>
        <w:autoSpaceDN w:val="0"/>
        <w:adjustRightInd w:val="0"/>
        <w:spacing w:after="0" w:line="240" w:lineRule="auto"/>
        <w:jc w:val="both"/>
        <w:rPr>
          <w:rFonts w:ascii="Times New Roman" w:hAnsi="Times New Roman" w:cs="Times New Roman"/>
          <w:sz w:val="24"/>
          <w:szCs w:val="24"/>
        </w:rPr>
      </w:pPr>
      <w:r>
        <w:rPr>
          <w:rFonts w:ascii="TimesNewRomanPSMT" w:hAnsi="TimesNewRomanPSMT" w:cs="TimesNewRomanPSMT"/>
          <w:b/>
          <w:sz w:val="24"/>
          <w:szCs w:val="24"/>
        </w:rPr>
        <w:tab/>
      </w:r>
      <w:r w:rsidRPr="006614FF">
        <w:rPr>
          <w:rFonts w:ascii="Times New Roman" w:hAnsi="Times New Roman" w:cs="Times New Roman"/>
          <w:sz w:val="24"/>
          <w:szCs w:val="24"/>
        </w:rPr>
        <w:t>La peste un deceniu de la debutul crizei financiare mondiale, foarte multe bănci din lume dar și din România îi resimt efectul</w:t>
      </w:r>
      <w:r w:rsidR="000B0EA6">
        <w:rPr>
          <w:rFonts w:ascii="Times New Roman" w:hAnsi="Times New Roman" w:cs="Times New Roman"/>
          <w:sz w:val="24"/>
          <w:szCs w:val="24"/>
        </w:rPr>
        <w:t>,</w:t>
      </w:r>
      <w:r w:rsidRPr="006614FF">
        <w:rPr>
          <w:rFonts w:ascii="Times New Roman" w:hAnsi="Times New Roman" w:cs="Times New Roman"/>
          <w:sz w:val="24"/>
          <w:szCs w:val="24"/>
        </w:rPr>
        <w:t xml:space="preserve"> înregistând mari pierderi ca urmare a apariție creditelor neperformante.</w:t>
      </w:r>
    </w:p>
    <w:p w:rsidR="00145584" w:rsidRPr="006614FF" w:rsidRDefault="00145584" w:rsidP="00145584">
      <w:pPr>
        <w:autoSpaceDE w:val="0"/>
        <w:autoSpaceDN w:val="0"/>
        <w:adjustRightInd w:val="0"/>
        <w:spacing w:after="0" w:line="240" w:lineRule="auto"/>
        <w:jc w:val="both"/>
        <w:rPr>
          <w:rFonts w:ascii="Times New Roman" w:hAnsi="Times New Roman" w:cs="Times New Roman"/>
          <w:sz w:val="24"/>
          <w:szCs w:val="24"/>
        </w:rPr>
      </w:pPr>
      <w:r w:rsidRPr="006614FF">
        <w:rPr>
          <w:rFonts w:ascii="Times New Roman" w:hAnsi="Times New Roman" w:cs="Times New Roman"/>
          <w:sz w:val="24"/>
          <w:szCs w:val="24"/>
        </w:rPr>
        <w:tab/>
      </w:r>
      <w:r w:rsidR="006614FF" w:rsidRPr="006614FF">
        <w:rPr>
          <w:rFonts w:ascii="Times New Roman" w:hAnsi="Times New Roman" w:cs="Times New Roman"/>
          <w:sz w:val="24"/>
          <w:szCs w:val="24"/>
        </w:rPr>
        <w:t xml:space="preserve">Și </w:t>
      </w:r>
      <w:r w:rsidRPr="006614FF">
        <w:rPr>
          <w:rFonts w:ascii="Times New Roman" w:hAnsi="Times New Roman" w:cs="Times New Roman"/>
          <w:sz w:val="24"/>
          <w:szCs w:val="24"/>
        </w:rPr>
        <w:t xml:space="preserve">modelul de afaceri mai puțin eficient al unor bănci, cu </w:t>
      </w:r>
      <w:r w:rsidR="006614FF" w:rsidRPr="006614FF">
        <w:rPr>
          <w:rFonts w:ascii="Times New Roman" w:hAnsi="Times New Roman" w:cs="Times New Roman"/>
          <w:sz w:val="24"/>
          <w:szCs w:val="24"/>
        </w:rPr>
        <w:t>politici de creditare riscante sau inadecvate</w:t>
      </w:r>
      <w:r w:rsidR="00AC5055">
        <w:rPr>
          <w:rFonts w:ascii="Times New Roman" w:hAnsi="Times New Roman" w:cs="Times New Roman"/>
          <w:sz w:val="24"/>
          <w:szCs w:val="24"/>
        </w:rPr>
        <w:t>,</w:t>
      </w:r>
      <w:r w:rsidR="006614FF" w:rsidRPr="006614FF">
        <w:rPr>
          <w:rFonts w:ascii="Times New Roman" w:hAnsi="Times New Roman" w:cs="Times New Roman"/>
          <w:sz w:val="24"/>
          <w:szCs w:val="24"/>
        </w:rPr>
        <w:t xml:space="preserve"> provoacă apariția acestui tip de credit.</w:t>
      </w:r>
      <w:r w:rsidR="00E31B62" w:rsidRPr="00E31B62">
        <w:t xml:space="preserve"> </w:t>
      </w:r>
      <w:r w:rsidR="00E31B62" w:rsidRPr="00E31B62">
        <w:rPr>
          <w:rFonts w:ascii="Times New Roman" w:hAnsi="Times New Roman" w:cs="Times New Roman"/>
          <w:sz w:val="24"/>
          <w:szCs w:val="24"/>
        </w:rPr>
        <w:t>Dependența sistemului financiar românesc de instituțiile de credit amplifică riscul de creditare, face ca numărul și volumul creditelor neperformante să crească.</w:t>
      </w:r>
    </w:p>
    <w:p w:rsidR="00145584" w:rsidRPr="006614FF" w:rsidRDefault="006614FF" w:rsidP="006614FF">
      <w:pPr>
        <w:autoSpaceDE w:val="0"/>
        <w:autoSpaceDN w:val="0"/>
        <w:adjustRightInd w:val="0"/>
        <w:spacing w:after="0" w:line="240" w:lineRule="auto"/>
        <w:jc w:val="both"/>
        <w:rPr>
          <w:rFonts w:ascii="Times New Roman" w:hAnsi="Times New Roman" w:cs="Times New Roman"/>
          <w:sz w:val="24"/>
          <w:szCs w:val="24"/>
        </w:rPr>
      </w:pPr>
      <w:r w:rsidRPr="006614FF">
        <w:rPr>
          <w:rFonts w:ascii="Times New Roman" w:hAnsi="Times New Roman" w:cs="Times New Roman"/>
          <w:sz w:val="24"/>
          <w:szCs w:val="24"/>
        </w:rPr>
        <w:tab/>
      </w:r>
      <w:r w:rsidR="00145584" w:rsidRPr="006614FF">
        <w:rPr>
          <w:rFonts w:ascii="Times New Roman" w:hAnsi="Times New Roman" w:cs="Times New Roman"/>
          <w:sz w:val="24"/>
          <w:szCs w:val="24"/>
        </w:rPr>
        <w:t>În ultimii ani, cele mai mari bănci din România, BCR și BRD Groupe Société Générale au suferit pierderi imense din cauza creditelor neperform</w:t>
      </w:r>
      <w:r w:rsidRPr="006614FF">
        <w:rPr>
          <w:rFonts w:ascii="Times New Roman" w:hAnsi="Times New Roman" w:cs="Times New Roman"/>
          <w:sz w:val="24"/>
          <w:szCs w:val="24"/>
        </w:rPr>
        <w:t>ante</w:t>
      </w:r>
      <w:r w:rsidR="00145584" w:rsidRPr="006614FF">
        <w:rPr>
          <w:rFonts w:ascii="Times New Roman" w:hAnsi="Times New Roman" w:cs="Times New Roman"/>
          <w:sz w:val="24"/>
          <w:szCs w:val="24"/>
        </w:rPr>
        <w:t>.</w:t>
      </w:r>
      <w:r w:rsidRPr="006614FF">
        <w:rPr>
          <w:rFonts w:ascii="Times New Roman" w:hAnsi="Times New Roman" w:cs="Times New Roman"/>
          <w:sz w:val="24"/>
          <w:szCs w:val="24"/>
        </w:rPr>
        <w:t xml:space="preserve"> Au existat și bănci mai mici, care au avut aceleași probleme,</w:t>
      </w:r>
      <w:r w:rsidR="00AC5055">
        <w:rPr>
          <w:rFonts w:ascii="Times New Roman" w:hAnsi="Times New Roman" w:cs="Times New Roman"/>
          <w:sz w:val="24"/>
          <w:szCs w:val="24"/>
        </w:rPr>
        <w:t xml:space="preserve"> </w:t>
      </w:r>
      <w:r w:rsidRPr="006614FF">
        <w:rPr>
          <w:rFonts w:ascii="Times New Roman" w:hAnsi="Times New Roman" w:cs="Times New Roman"/>
          <w:sz w:val="24"/>
          <w:szCs w:val="24"/>
        </w:rPr>
        <w:t xml:space="preserve">respectiv Alpha Bank și Bancpost precum și Volksbank. </w:t>
      </w:r>
    </w:p>
    <w:p w:rsidR="00026124" w:rsidRDefault="0082774D" w:rsidP="00026124">
      <w:pPr>
        <w:autoSpaceDE w:val="0"/>
        <w:autoSpaceDN w:val="0"/>
        <w:adjustRightInd w:val="0"/>
        <w:spacing w:after="0" w:line="240" w:lineRule="auto"/>
        <w:jc w:val="both"/>
        <w:rPr>
          <w:rFonts w:ascii="Times New Roman" w:hAnsi="Times New Roman" w:cs="Times New Roman"/>
          <w:sz w:val="24"/>
          <w:szCs w:val="24"/>
          <w:lang w:val="ro-RO"/>
        </w:rPr>
      </w:pPr>
      <w:r w:rsidRPr="006614FF">
        <w:rPr>
          <w:rFonts w:ascii="Times New Roman" w:hAnsi="Times New Roman" w:cs="Times New Roman"/>
          <w:sz w:val="24"/>
          <w:szCs w:val="24"/>
          <w:lang w:val="ro-RO"/>
        </w:rPr>
        <w:tab/>
      </w:r>
      <w:r w:rsidR="006614FF" w:rsidRPr="006614FF">
        <w:rPr>
          <w:rFonts w:ascii="Times New Roman" w:hAnsi="Times New Roman" w:cs="Times New Roman"/>
          <w:sz w:val="24"/>
          <w:szCs w:val="24"/>
          <w:lang w:val="ro-RO"/>
        </w:rPr>
        <w:t>Totuși b</w:t>
      </w:r>
      <w:r w:rsidRPr="006614FF">
        <w:rPr>
          <w:rFonts w:ascii="Times New Roman" w:hAnsi="Times New Roman" w:cs="Times New Roman"/>
          <w:sz w:val="24"/>
          <w:szCs w:val="24"/>
          <w:lang w:val="ro-RO"/>
        </w:rPr>
        <w:t>ăncile din România a înregistrat la finele anului 2017 un profit net de 5,4 mld. lei, iar cota de piață a instituţiilor de credit cu pierderi a atins un minim istoric, pe fondul continuării reducerii cheltuielilor cu ajustările pentru depreciere într</w:t>
      </w:r>
      <w:r w:rsidRPr="006614FF">
        <w:rPr>
          <w:rFonts w:ascii="Times New Roman" w:hAnsi="Times New Roman" w:cs="Times New Roman"/>
          <w:b/>
          <w:sz w:val="24"/>
          <w:szCs w:val="24"/>
          <w:lang w:val="ro-RO"/>
        </w:rPr>
        <w:t>-</w:t>
      </w:r>
      <w:r w:rsidRPr="006614FF">
        <w:rPr>
          <w:rFonts w:ascii="Times New Roman" w:hAnsi="Times New Roman" w:cs="Times New Roman"/>
          <w:sz w:val="24"/>
          <w:szCs w:val="24"/>
          <w:lang w:val="ro-RO"/>
        </w:rPr>
        <w:t>un cadru macroeconomic intern favorabil, al prelungirii nivelului</w:t>
      </w:r>
      <w:r w:rsidR="000B0EA6">
        <w:rPr>
          <w:rFonts w:ascii="Times New Roman" w:hAnsi="Times New Roman" w:cs="Times New Roman"/>
          <w:sz w:val="24"/>
          <w:szCs w:val="24"/>
          <w:lang w:val="ro-RO"/>
        </w:rPr>
        <w:t xml:space="preserve"> scăzut al dobânzii</w:t>
      </w:r>
      <w:r w:rsidRPr="006614FF">
        <w:rPr>
          <w:rFonts w:ascii="Times New Roman" w:hAnsi="Times New Roman" w:cs="Times New Roman"/>
          <w:sz w:val="24"/>
          <w:szCs w:val="24"/>
          <w:lang w:val="ro-RO"/>
        </w:rPr>
        <w:t xml:space="preserve"> și al menţinerii ritmului puternic al creditării în monedă națională.</w:t>
      </w:r>
    </w:p>
    <w:p w:rsidR="00AC5055" w:rsidRPr="00AC5055" w:rsidRDefault="00AC5055" w:rsidP="000261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AC5055">
        <w:rPr>
          <w:rFonts w:ascii="Times New Roman" w:hAnsi="Times New Roman" w:cs="Times New Roman"/>
          <w:sz w:val="24"/>
          <w:szCs w:val="24"/>
        </w:rPr>
        <w:t>Calitatea activelor bancare a continuat să se îmbunătățească lucru confirmat de trendul descrescător al ratei creditelor neperformante.</w:t>
      </w:r>
    </w:p>
    <w:p w:rsidR="00BF015A" w:rsidRPr="001F5E87" w:rsidRDefault="00BF015A" w:rsidP="00BF015A">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b/>
          <w:color w:val="FF0000"/>
          <w:sz w:val="24"/>
          <w:szCs w:val="24"/>
        </w:rPr>
        <w:tab/>
      </w:r>
      <w:r w:rsidRPr="001F5E87">
        <w:rPr>
          <w:rFonts w:ascii="TimesNewRomanPSMT" w:hAnsi="TimesNewRomanPSMT" w:cs="TimesNewRomanPSMT"/>
          <w:sz w:val="24"/>
          <w:szCs w:val="24"/>
        </w:rPr>
        <w:t>Lucrarea a sintetizat care au fost cauzele principale ale înregistrării de credite neperformante, în sectorul bancar românesc începând cu anul 2010.</w:t>
      </w:r>
    </w:p>
    <w:p w:rsidR="00BF015A" w:rsidRPr="001F5E87" w:rsidRDefault="00BF015A" w:rsidP="00BF015A">
      <w:pPr>
        <w:autoSpaceDE w:val="0"/>
        <w:autoSpaceDN w:val="0"/>
        <w:adjustRightInd w:val="0"/>
        <w:spacing w:after="0" w:line="240" w:lineRule="auto"/>
        <w:jc w:val="both"/>
        <w:rPr>
          <w:rFonts w:ascii="TimesNewRomanPSMT" w:hAnsi="TimesNewRomanPSMT" w:cs="TimesNewRomanPSMT"/>
          <w:sz w:val="24"/>
          <w:szCs w:val="24"/>
        </w:rPr>
      </w:pPr>
      <w:r w:rsidRPr="001F5E87">
        <w:rPr>
          <w:rFonts w:ascii="TimesNewRomanPSMT" w:hAnsi="TimesNewRomanPSMT" w:cs="TimesNewRomanPSMT"/>
          <w:sz w:val="24"/>
          <w:szCs w:val="24"/>
        </w:rPr>
        <w:tab/>
      </w:r>
      <w:r w:rsidR="001F5E87" w:rsidRPr="001F5E87">
        <w:rPr>
          <w:rFonts w:ascii="TimesNewRomanPSMT" w:hAnsi="TimesNewRomanPSMT" w:cs="TimesNewRomanPSMT"/>
          <w:sz w:val="24"/>
          <w:szCs w:val="24"/>
        </w:rPr>
        <w:t>S</w:t>
      </w:r>
      <w:r w:rsidR="001F5E87" w:rsidRPr="001F5E87">
        <w:rPr>
          <w:rFonts w:ascii="TimesNewRomanPSMT" w:hAnsi="TimesNewRomanPSMT" w:cs="TimesNewRomanPSMT"/>
          <w:b/>
          <w:sz w:val="24"/>
          <w:szCs w:val="24"/>
        </w:rPr>
        <w:t>-</w:t>
      </w:r>
      <w:r w:rsidR="001F5E87" w:rsidRPr="001F5E87">
        <w:rPr>
          <w:rFonts w:ascii="TimesNewRomanPSMT" w:hAnsi="TimesNewRomanPSMT" w:cs="TimesNewRomanPSMT"/>
          <w:sz w:val="24"/>
          <w:szCs w:val="24"/>
        </w:rPr>
        <w:t>a</w:t>
      </w:r>
      <w:r w:rsidRPr="001F5E87">
        <w:rPr>
          <w:rFonts w:ascii="TimesNewRomanPSMT" w:hAnsi="TimesNewRomanPSMT" w:cs="TimesNewRomanPSMT"/>
          <w:sz w:val="24"/>
          <w:szCs w:val="24"/>
        </w:rPr>
        <w:t xml:space="preserve"> demonstrat că acestea au fost cauzele punând față în față, într</w:t>
      </w:r>
      <w:r w:rsidRPr="001F5E87">
        <w:rPr>
          <w:rFonts w:ascii="TimesNewRomanPSMT" w:hAnsi="TimesNewRomanPSMT" w:cs="TimesNewRomanPSMT"/>
          <w:b/>
          <w:sz w:val="24"/>
          <w:szCs w:val="24"/>
        </w:rPr>
        <w:t>-</w:t>
      </w:r>
      <w:r w:rsidRPr="001F5E87">
        <w:rPr>
          <w:rFonts w:ascii="TimesNewRomanPSMT" w:hAnsi="TimesNewRomanPSMT" w:cs="TimesNewRomanPSMT"/>
          <w:sz w:val="24"/>
          <w:szCs w:val="24"/>
        </w:rPr>
        <w:t>un tabel, evoluția creditelor neperformante cu o serie de indicatori mac</w:t>
      </w:r>
      <w:r w:rsidR="001F5E87">
        <w:rPr>
          <w:rFonts w:ascii="TimesNewRomanPSMT" w:hAnsi="TimesNewRomanPSMT" w:cs="TimesNewRomanPSMT"/>
          <w:sz w:val="24"/>
          <w:szCs w:val="24"/>
        </w:rPr>
        <w:t>r</w:t>
      </w:r>
      <w:r w:rsidRPr="001F5E87">
        <w:rPr>
          <w:rFonts w:ascii="TimesNewRomanPSMT" w:hAnsi="TimesNewRomanPSMT" w:cs="TimesNewRomanPSMT"/>
          <w:sz w:val="24"/>
          <w:szCs w:val="24"/>
        </w:rPr>
        <w:t>o și microeconomici. Starea economiei, situaţia economică este principala cauză, dar să nu neglijăm politicile eronate ale băncilor, lipsa lor de viziune</w:t>
      </w:r>
      <w:r w:rsidR="001F5E87" w:rsidRPr="001F5E87">
        <w:rPr>
          <w:rFonts w:ascii="TimesNewRomanPSMT" w:hAnsi="TimesNewRomanPSMT" w:cs="TimesNewRomanPSMT"/>
          <w:sz w:val="24"/>
          <w:szCs w:val="24"/>
        </w:rPr>
        <w:t xml:space="preserve"> și educația financiară a agenților economici.</w:t>
      </w:r>
    </w:p>
    <w:p w:rsidR="00145584" w:rsidRPr="001F5E87" w:rsidRDefault="001F5E87" w:rsidP="001F5E87">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b/>
          <w:color w:val="FF0000"/>
          <w:sz w:val="24"/>
          <w:szCs w:val="24"/>
        </w:rPr>
        <w:tab/>
      </w:r>
      <w:r w:rsidRPr="001F5E87">
        <w:rPr>
          <w:rFonts w:ascii="TimesNewRomanPSMT" w:hAnsi="TimesNewRomanPSMT" w:cs="TimesNewRomanPSMT"/>
          <w:sz w:val="24"/>
          <w:szCs w:val="24"/>
        </w:rPr>
        <w:t xml:space="preserve">Pentru a se preveni înregistrarea de situații asemănătoare </w:t>
      </w:r>
      <w:r w:rsidR="00026124" w:rsidRPr="001F5E87">
        <w:rPr>
          <w:rFonts w:ascii="TimesNewRomanPSMT" w:hAnsi="TimesNewRomanPSMT" w:cs="TimesNewRomanPSMT"/>
          <w:sz w:val="24"/>
          <w:szCs w:val="24"/>
        </w:rPr>
        <w:t xml:space="preserve">BCE și </w:t>
      </w:r>
      <w:r w:rsidRPr="001F5E87">
        <w:rPr>
          <w:rFonts w:ascii="TimesNewRomanPSMT" w:hAnsi="TimesNewRomanPSMT" w:cs="TimesNewRomanPSMT"/>
          <w:sz w:val="24"/>
          <w:szCs w:val="24"/>
        </w:rPr>
        <w:t xml:space="preserve">EBA au instituit </w:t>
      </w:r>
      <w:r w:rsidR="00026124" w:rsidRPr="001F5E87">
        <w:rPr>
          <w:rFonts w:ascii="TimesNewRomanPSMT" w:hAnsi="TimesNewRomanPSMT" w:cs="TimesNewRomanPSMT"/>
          <w:sz w:val="24"/>
          <w:szCs w:val="24"/>
        </w:rPr>
        <w:t xml:space="preserve"> noi reguli pe care băncile vor fi obligate să le urmeze, în privința creditelor neperformante, reguli ce privesc modul de constituire a provizioanelor pentru noile credite neperformante.</w:t>
      </w:r>
      <w:r w:rsidRPr="001F5E87">
        <w:rPr>
          <w:rFonts w:ascii="TimesNewRomanPSMT" w:hAnsi="TimesNewRomanPSMT" w:cs="TimesNewRomanPSMT"/>
          <w:sz w:val="24"/>
          <w:szCs w:val="24"/>
        </w:rPr>
        <w:t>De fapt asistăm în acest moment la o puternică reglentare și supraveghe</w:t>
      </w:r>
      <w:r w:rsidR="000B0EA6">
        <w:rPr>
          <w:rFonts w:ascii="TimesNewRomanPSMT" w:hAnsi="TimesNewRomanPSMT" w:cs="TimesNewRomanPSMT"/>
          <w:sz w:val="24"/>
          <w:szCs w:val="24"/>
        </w:rPr>
        <w:t>re</w:t>
      </w:r>
      <w:r w:rsidRPr="001F5E87">
        <w:rPr>
          <w:rFonts w:ascii="TimesNewRomanPSMT" w:hAnsi="TimesNewRomanPSMT" w:cs="TimesNewRomanPSMT"/>
          <w:sz w:val="24"/>
          <w:szCs w:val="24"/>
        </w:rPr>
        <w:t xml:space="preserve"> a băncilor din UE</w:t>
      </w:r>
      <w:r>
        <w:rPr>
          <w:rFonts w:ascii="TimesNewRomanPSMT" w:hAnsi="TimesNewRomanPSMT" w:cs="TimesNewRomanPSMT"/>
          <w:sz w:val="24"/>
          <w:szCs w:val="24"/>
        </w:rPr>
        <w:t xml:space="preserve">, </w:t>
      </w:r>
      <w:r w:rsidR="00145584" w:rsidRPr="001F5E87">
        <w:rPr>
          <w:rFonts w:ascii="Times New Roman" w:hAnsi="Times New Roman" w:cs="Times New Roman"/>
          <w:sz w:val="24"/>
          <w:szCs w:val="24"/>
        </w:rPr>
        <w:t>cerințele de capital au crescut, au fost introduse noi reguli privind lichiditatea cu impact asupra maturității structurii activelor, iar evaluarea riscului de credit este mult mai riguroasă.</w:t>
      </w:r>
    </w:p>
    <w:p w:rsidR="00145584" w:rsidRDefault="00145584" w:rsidP="001F405E">
      <w:pPr>
        <w:spacing w:after="0" w:line="240" w:lineRule="auto"/>
        <w:jc w:val="both"/>
        <w:rPr>
          <w:rFonts w:ascii="Times New Roman" w:hAnsi="Times New Roman" w:cs="Times New Roman"/>
          <w:b/>
        </w:rPr>
      </w:pPr>
    </w:p>
    <w:p w:rsidR="001F405E" w:rsidRPr="00B45831" w:rsidRDefault="001F405E" w:rsidP="001F405E">
      <w:pPr>
        <w:spacing w:after="0" w:line="240" w:lineRule="auto"/>
        <w:jc w:val="both"/>
        <w:rPr>
          <w:rFonts w:ascii="Times New Roman" w:hAnsi="Times New Roman" w:cs="Times New Roman"/>
          <w:b/>
        </w:rPr>
      </w:pPr>
      <w:r w:rsidRPr="00B45831">
        <w:rPr>
          <w:rFonts w:ascii="Times New Roman" w:hAnsi="Times New Roman" w:cs="Times New Roman"/>
          <w:b/>
        </w:rPr>
        <w:lastRenderedPageBreak/>
        <w:t>ENDNOTES</w:t>
      </w:r>
    </w:p>
    <w:p w:rsidR="001F405E" w:rsidRPr="002F5B80" w:rsidRDefault="001F405E" w:rsidP="001F405E">
      <w:pPr>
        <w:pStyle w:val="FootnoteText"/>
        <w:jc w:val="both"/>
        <w:rPr>
          <w:rFonts w:ascii="Times New Roman" w:hAnsi="Times New Roman" w:cs="Times New Roman"/>
          <w:i/>
          <w:lang w:val="ro-RO"/>
        </w:rPr>
      </w:pPr>
      <w:r w:rsidRPr="002F5B80">
        <w:rPr>
          <w:rFonts w:ascii="Times New Roman" w:hAnsi="Times New Roman" w:cs="Times New Roman"/>
          <w:i/>
        </w:rPr>
        <w:t>[1]</w:t>
      </w:r>
      <w:r w:rsidRPr="002F5B80">
        <w:rPr>
          <w:rStyle w:val="FootnoteReference"/>
          <w:rFonts w:ascii="Times New Roman" w:hAnsi="Times New Roman" w:cs="Times New Roman"/>
          <w:i/>
        </w:rPr>
        <w:t xml:space="preserve"> </w:t>
      </w:r>
      <w:r w:rsidRPr="002F5B80">
        <w:rPr>
          <w:rFonts w:ascii="Times New Roman" w:eastAsia="Times New Roman" w:hAnsi="Times New Roman" w:cs="Times New Roman"/>
          <w:i/>
        </w:rPr>
        <w:t>Regulamentul (UE) nr. 575/2013,</w:t>
      </w:r>
      <w:r w:rsidRPr="002F5B80">
        <w:rPr>
          <w:rFonts w:ascii="Times New Roman" w:eastAsia="Times New Roman" w:hAnsi="Times New Roman" w:cs="Times New Roman"/>
          <w:b/>
          <w:bCs/>
          <w:i/>
          <w:color w:val="FF0000"/>
        </w:rPr>
        <w:t xml:space="preserve"> </w:t>
      </w:r>
      <w:r w:rsidRPr="002F5B80">
        <w:rPr>
          <w:rFonts w:ascii="Times New Roman" w:eastAsia="Times New Roman" w:hAnsi="Times New Roman" w:cs="Times New Roman"/>
          <w:i/>
        </w:rPr>
        <w:t>art. 4 alin. (1)</w:t>
      </w:r>
    </w:p>
    <w:p w:rsidR="001F405E" w:rsidRPr="002F5B80" w:rsidRDefault="001F405E" w:rsidP="001F405E">
      <w:pPr>
        <w:spacing w:after="0" w:line="240" w:lineRule="auto"/>
        <w:jc w:val="both"/>
        <w:rPr>
          <w:rFonts w:ascii="Times New Roman" w:hAnsi="Times New Roman" w:cs="Times New Roman"/>
          <w:i/>
          <w:sz w:val="20"/>
          <w:szCs w:val="20"/>
        </w:rPr>
      </w:pPr>
      <w:r w:rsidRPr="002F5B80">
        <w:rPr>
          <w:rFonts w:ascii="Times New Roman" w:hAnsi="Times New Roman" w:cs="Times New Roman"/>
          <w:i/>
          <w:sz w:val="20"/>
          <w:szCs w:val="20"/>
        </w:rPr>
        <w:t>[2</w:t>
      </w:r>
      <w:r>
        <w:rPr>
          <w:rFonts w:ascii="Times New Roman" w:hAnsi="Times New Roman" w:cs="Times New Roman"/>
          <w:i/>
          <w:sz w:val="20"/>
          <w:szCs w:val="20"/>
        </w:rPr>
        <w:t>] Kock, T.,</w:t>
      </w:r>
      <w:r w:rsidRPr="002F5B80">
        <w:rPr>
          <w:rFonts w:ascii="Times New Roman" w:hAnsi="Times New Roman" w:cs="Times New Roman"/>
          <w:i/>
          <w:sz w:val="20"/>
          <w:szCs w:val="20"/>
        </w:rPr>
        <w:t xml:space="preserve"> W., Bank Management, The Dryden Press , Part II: Managing Interest Rate Risk, 1995</w:t>
      </w:r>
    </w:p>
    <w:p w:rsidR="001F405E" w:rsidRPr="002F5B80" w:rsidRDefault="001F405E" w:rsidP="001F405E">
      <w:pPr>
        <w:spacing w:after="0" w:line="240" w:lineRule="auto"/>
        <w:contextualSpacing/>
        <w:jc w:val="both"/>
        <w:rPr>
          <w:rFonts w:ascii="Times New Roman" w:hAnsi="Times New Roman" w:cs="Times New Roman"/>
          <w:i/>
          <w:sz w:val="20"/>
          <w:szCs w:val="20"/>
        </w:rPr>
      </w:pPr>
      <w:r w:rsidRPr="002F5B80">
        <w:rPr>
          <w:rFonts w:ascii="Times New Roman" w:hAnsi="Times New Roman" w:cs="Times New Roman"/>
          <w:i/>
          <w:sz w:val="20"/>
          <w:szCs w:val="20"/>
        </w:rPr>
        <w:t>[3] Toma, S.B. (teză de doctorat), Performanţe Bancare în Economia României, 2004</w:t>
      </w:r>
    </w:p>
    <w:p w:rsidR="001F405E" w:rsidRPr="002F5B80" w:rsidRDefault="001F405E" w:rsidP="001F405E">
      <w:pPr>
        <w:spacing w:after="0" w:line="240" w:lineRule="auto"/>
        <w:contextualSpacing/>
        <w:jc w:val="both"/>
        <w:rPr>
          <w:rFonts w:ascii="Times New Roman" w:hAnsi="Times New Roman" w:cs="Times New Roman"/>
          <w:i/>
          <w:sz w:val="20"/>
          <w:szCs w:val="20"/>
          <w:highlight w:val="yellow"/>
          <w:lang w:val="pt-PT"/>
        </w:rPr>
      </w:pPr>
      <w:r w:rsidRPr="002F5B80">
        <w:rPr>
          <w:rFonts w:ascii="Times New Roman" w:hAnsi="Times New Roman" w:cs="Times New Roman"/>
          <w:i/>
          <w:sz w:val="20"/>
          <w:szCs w:val="20"/>
        </w:rPr>
        <w:t xml:space="preserve">[4] </w:t>
      </w:r>
      <w:hyperlink r:id="rId18" w:history="1">
        <w:r w:rsidRPr="002F5B80">
          <w:rPr>
            <w:rStyle w:val="Hyperlink"/>
            <w:rFonts w:ascii="Times New Roman" w:hAnsi="Times New Roman" w:cs="Times New Roman"/>
            <w:i/>
            <w:color w:val="auto"/>
            <w:sz w:val="20"/>
            <w:szCs w:val="20"/>
            <w:u w:val="none"/>
            <w:lang w:val="pt-PT"/>
          </w:rPr>
          <w:t>https://dexonline.ro/definitie/risc</w:t>
        </w:r>
      </w:hyperlink>
      <w:r>
        <w:rPr>
          <w:rFonts w:ascii="Times New Roman" w:hAnsi="Times New Roman" w:cs="Times New Roman"/>
          <w:i/>
          <w:sz w:val="20"/>
          <w:szCs w:val="20"/>
          <w:lang w:val="pt-PT"/>
        </w:rPr>
        <w:t xml:space="preserve"> accesat la data de 13.05.18</w:t>
      </w:r>
    </w:p>
    <w:p w:rsidR="001F405E" w:rsidRPr="002F5B80" w:rsidRDefault="001F405E" w:rsidP="001F405E">
      <w:pPr>
        <w:spacing w:after="0" w:line="240" w:lineRule="auto"/>
        <w:contextualSpacing/>
        <w:jc w:val="both"/>
        <w:rPr>
          <w:rFonts w:ascii="Times New Roman" w:hAnsi="Times New Roman" w:cs="Times New Roman"/>
          <w:i/>
          <w:sz w:val="20"/>
          <w:szCs w:val="20"/>
          <w:lang w:val="pt-PT"/>
        </w:rPr>
      </w:pPr>
      <w:r w:rsidRPr="002F5B80">
        <w:rPr>
          <w:rFonts w:ascii="Times New Roman" w:hAnsi="Times New Roman" w:cs="Times New Roman"/>
          <w:i/>
          <w:sz w:val="20"/>
          <w:szCs w:val="20"/>
        </w:rPr>
        <w:t xml:space="preserve">[5] </w:t>
      </w:r>
      <w:r w:rsidRPr="002F5B80">
        <w:rPr>
          <w:rFonts w:ascii="Times New Roman" w:hAnsi="Times New Roman" w:cs="Times New Roman"/>
          <w:i/>
          <w:sz w:val="20"/>
          <w:szCs w:val="20"/>
          <w:lang w:val="pt-PT"/>
        </w:rPr>
        <w:t xml:space="preserve">Iuga I, Dimensiunile proecesului de analiză a creditului și riscul de credit, valabil online la </w:t>
      </w:r>
      <w:hyperlink r:id="rId19" w:history="1">
        <w:r w:rsidRPr="002F5B80">
          <w:rPr>
            <w:rStyle w:val="Hyperlink"/>
            <w:rFonts w:ascii="Times New Roman" w:hAnsi="Times New Roman" w:cs="Times New Roman"/>
            <w:i/>
            <w:color w:val="auto"/>
            <w:sz w:val="20"/>
            <w:szCs w:val="20"/>
            <w:u w:val="none"/>
            <w:lang w:val="pt-PT"/>
          </w:rPr>
          <w:t>http:</w:t>
        </w:r>
        <w:r>
          <w:rPr>
            <w:rStyle w:val="Hyperlink"/>
            <w:rFonts w:ascii="Times New Roman" w:hAnsi="Times New Roman" w:cs="Times New Roman"/>
            <w:i/>
            <w:color w:val="auto"/>
            <w:sz w:val="20"/>
            <w:szCs w:val="20"/>
            <w:u w:val="none"/>
            <w:lang w:val="pt-PT"/>
          </w:rPr>
          <w:t xml:space="preserve"> </w:t>
        </w:r>
        <w:r w:rsidRPr="002F5B80">
          <w:rPr>
            <w:rStyle w:val="Hyperlink"/>
            <w:rFonts w:ascii="Times New Roman" w:hAnsi="Times New Roman" w:cs="Times New Roman"/>
            <w:i/>
            <w:color w:val="auto"/>
            <w:sz w:val="20"/>
            <w:szCs w:val="20"/>
            <w:u w:val="none"/>
            <w:lang w:val="pt-PT"/>
          </w:rPr>
          <w:t>//www.oeconomica.uab.ro/upload/lucrari/820063/8.pdf</w:t>
        </w:r>
      </w:hyperlink>
    </w:p>
    <w:p w:rsidR="001F405E" w:rsidRPr="002F5B80" w:rsidRDefault="001F405E" w:rsidP="001F405E">
      <w:pPr>
        <w:spacing w:after="0" w:line="240" w:lineRule="auto"/>
        <w:contextualSpacing/>
        <w:jc w:val="both"/>
        <w:rPr>
          <w:rFonts w:ascii="Times New Roman" w:hAnsi="Times New Roman" w:cs="Times New Roman"/>
          <w:i/>
          <w:sz w:val="20"/>
          <w:szCs w:val="20"/>
        </w:rPr>
      </w:pPr>
      <w:r w:rsidRPr="002F5B80">
        <w:rPr>
          <w:rFonts w:ascii="Times New Roman" w:hAnsi="Times New Roman" w:cs="Times New Roman"/>
          <w:i/>
          <w:sz w:val="20"/>
          <w:szCs w:val="20"/>
        </w:rPr>
        <w:t>[6] Costică, I., Lazărescu S.A., Politici și tehnici bancare, Editura ASE, București, 2004</w:t>
      </w:r>
    </w:p>
    <w:p w:rsidR="001F405E" w:rsidRPr="002F5B80" w:rsidRDefault="001F405E" w:rsidP="001F405E">
      <w:pPr>
        <w:spacing w:after="0" w:line="240" w:lineRule="auto"/>
        <w:jc w:val="both"/>
        <w:rPr>
          <w:rFonts w:ascii="Times New Roman" w:hAnsi="Times New Roman" w:cs="Times New Roman"/>
          <w:i/>
          <w:sz w:val="20"/>
          <w:szCs w:val="20"/>
        </w:rPr>
      </w:pPr>
      <w:r w:rsidRPr="002F5B80">
        <w:rPr>
          <w:rFonts w:ascii="Times New Roman" w:hAnsi="Times New Roman" w:cs="Times New Roman"/>
          <w:i/>
          <w:sz w:val="20"/>
          <w:szCs w:val="20"/>
        </w:rPr>
        <w:t>[7] European Banking Authority, Risk Dashboard Q4, 2017; valabil online pe: https:// www.</w:t>
      </w:r>
      <w:r>
        <w:rPr>
          <w:rFonts w:ascii="Times New Roman" w:hAnsi="Times New Roman" w:cs="Times New Roman"/>
          <w:i/>
          <w:sz w:val="20"/>
          <w:szCs w:val="20"/>
        </w:rPr>
        <w:t xml:space="preserve"> </w:t>
      </w:r>
      <w:r w:rsidRPr="002F5B80">
        <w:rPr>
          <w:rFonts w:ascii="Times New Roman" w:hAnsi="Times New Roman" w:cs="Times New Roman"/>
          <w:i/>
          <w:sz w:val="20"/>
          <w:szCs w:val="20"/>
        </w:rPr>
        <w:t>eba.</w:t>
      </w:r>
      <w:r w:rsidR="00186176">
        <w:rPr>
          <w:rFonts w:ascii="Times New Roman" w:hAnsi="Times New Roman" w:cs="Times New Roman"/>
          <w:i/>
          <w:sz w:val="20"/>
          <w:szCs w:val="20"/>
        </w:rPr>
        <w:t xml:space="preserve"> </w:t>
      </w:r>
      <w:r w:rsidRPr="002F5B80">
        <w:rPr>
          <w:rFonts w:ascii="Times New Roman" w:hAnsi="Times New Roman" w:cs="Times New Roman"/>
          <w:i/>
          <w:sz w:val="20"/>
          <w:szCs w:val="20"/>
        </w:rPr>
        <w:t>europa.</w:t>
      </w:r>
      <w:r w:rsidR="00186176">
        <w:rPr>
          <w:rFonts w:ascii="Times New Roman" w:hAnsi="Times New Roman" w:cs="Times New Roman"/>
          <w:i/>
          <w:sz w:val="20"/>
          <w:szCs w:val="20"/>
        </w:rPr>
        <w:t xml:space="preserve"> </w:t>
      </w:r>
      <w:r w:rsidRPr="002F5B80">
        <w:rPr>
          <w:rFonts w:ascii="Times New Roman" w:hAnsi="Times New Roman" w:cs="Times New Roman"/>
          <w:i/>
          <w:sz w:val="20"/>
          <w:szCs w:val="20"/>
        </w:rPr>
        <w:t>eu/</w:t>
      </w:r>
      <w:r w:rsidR="00186176">
        <w:rPr>
          <w:rFonts w:ascii="Times New Roman" w:hAnsi="Times New Roman" w:cs="Times New Roman"/>
          <w:i/>
          <w:sz w:val="20"/>
          <w:szCs w:val="20"/>
        </w:rPr>
        <w:t xml:space="preserve"> </w:t>
      </w:r>
      <w:r w:rsidRPr="002F5B80">
        <w:rPr>
          <w:rFonts w:ascii="Times New Roman" w:hAnsi="Times New Roman" w:cs="Times New Roman"/>
          <w:i/>
          <w:sz w:val="20"/>
          <w:szCs w:val="20"/>
        </w:rPr>
        <w:t xml:space="preserve">documents/10180/2175405/EBA+Dashboard+-+Q4+2017.pdf </w:t>
      </w:r>
    </w:p>
    <w:p w:rsidR="001F405E" w:rsidRPr="002F5B80" w:rsidRDefault="001F405E" w:rsidP="001F405E">
      <w:pPr>
        <w:spacing w:after="0" w:line="240" w:lineRule="auto"/>
        <w:jc w:val="both"/>
        <w:rPr>
          <w:rFonts w:ascii="Times New Roman" w:hAnsi="Times New Roman" w:cs="Times New Roman"/>
          <w:i/>
          <w:sz w:val="20"/>
          <w:szCs w:val="20"/>
        </w:rPr>
      </w:pPr>
      <w:r w:rsidRPr="002F5B80">
        <w:rPr>
          <w:rFonts w:ascii="Times New Roman" w:hAnsi="Times New Roman" w:cs="Times New Roman"/>
          <w:i/>
          <w:sz w:val="20"/>
          <w:szCs w:val="20"/>
        </w:rPr>
        <w:t>[8]</w:t>
      </w:r>
      <w:r w:rsidRPr="002F5B80">
        <w:rPr>
          <w:rFonts w:ascii="Times New Roman" w:hAnsi="Times New Roman" w:cs="Times New Roman"/>
          <w:i/>
          <w:sz w:val="20"/>
          <w:szCs w:val="20"/>
          <w:lang w:val="pt-PT"/>
        </w:rPr>
        <w:t xml:space="preserve"> Iuga</w:t>
      </w:r>
      <w:r>
        <w:rPr>
          <w:rFonts w:ascii="Times New Roman" w:hAnsi="Times New Roman" w:cs="Times New Roman"/>
          <w:i/>
          <w:sz w:val="20"/>
          <w:szCs w:val="20"/>
          <w:lang w:val="pt-PT"/>
        </w:rPr>
        <w:t>,</w:t>
      </w:r>
      <w:r w:rsidRPr="002F5B80">
        <w:rPr>
          <w:rFonts w:ascii="Times New Roman" w:hAnsi="Times New Roman" w:cs="Times New Roman"/>
          <w:i/>
          <w:sz w:val="20"/>
          <w:szCs w:val="20"/>
          <w:lang w:val="pt-PT"/>
        </w:rPr>
        <w:t xml:space="preserve"> I, Dimensiunile proecesului de analiză a creditului și riscul de credit, valabil online la </w:t>
      </w:r>
      <w:hyperlink r:id="rId20" w:history="1">
        <w:r w:rsidRPr="002F5B80">
          <w:rPr>
            <w:rStyle w:val="Hyperlink"/>
            <w:rFonts w:ascii="Times New Roman" w:hAnsi="Times New Roman" w:cs="Times New Roman"/>
            <w:i/>
            <w:color w:val="auto"/>
            <w:sz w:val="20"/>
            <w:szCs w:val="20"/>
            <w:u w:val="none"/>
            <w:lang w:val="pt-PT"/>
          </w:rPr>
          <w:t>http://www.oeconomica.uab.ro/upload/lucrari/820063/8.pdf</w:t>
        </w:r>
      </w:hyperlink>
    </w:p>
    <w:p w:rsidR="001F405E" w:rsidRPr="002F5B80" w:rsidRDefault="001F405E" w:rsidP="001F405E">
      <w:pPr>
        <w:spacing w:after="0" w:line="240" w:lineRule="auto"/>
        <w:jc w:val="both"/>
        <w:rPr>
          <w:rFonts w:ascii="Times New Roman" w:hAnsi="Times New Roman" w:cs="Times New Roman"/>
          <w:i/>
          <w:sz w:val="20"/>
          <w:szCs w:val="20"/>
        </w:rPr>
      </w:pPr>
      <w:r w:rsidRPr="002F5B80">
        <w:rPr>
          <w:rFonts w:ascii="Times New Roman" w:hAnsi="Times New Roman" w:cs="Times New Roman"/>
          <w:i/>
          <w:sz w:val="20"/>
          <w:szCs w:val="20"/>
        </w:rPr>
        <w:t>[9]</w:t>
      </w:r>
      <w:r w:rsidRPr="001B28C5">
        <w:rPr>
          <w:rFonts w:ascii="Times New Roman" w:hAnsi="Times New Roman" w:cs="Times New Roman"/>
          <w:i/>
          <w:sz w:val="20"/>
          <w:szCs w:val="20"/>
        </w:rPr>
        <w:t xml:space="preserve">  Moroșan</w:t>
      </w:r>
      <w:r>
        <w:rPr>
          <w:rFonts w:ascii="Times New Roman" w:hAnsi="Times New Roman" w:cs="Times New Roman"/>
          <w:i/>
          <w:sz w:val="20"/>
          <w:szCs w:val="20"/>
        </w:rPr>
        <w:t>,</w:t>
      </w:r>
      <w:r w:rsidRPr="001B28C5">
        <w:rPr>
          <w:rFonts w:ascii="Times New Roman" w:hAnsi="Times New Roman" w:cs="Times New Roman"/>
          <w:i/>
          <w:sz w:val="20"/>
          <w:szCs w:val="20"/>
        </w:rPr>
        <w:t xml:space="preserve"> Gh., Condratov</w:t>
      </w:r>
      <w:r>
        <w:rPr>
          <w:rFonts w:ascii="Times New Roman" w:hAnsi="Times New Roman" w:cs="Times New Roman"/>
          <w:i/>
          <w:sz w:val="20"/>
          <w:szCs w:val="20"/>
        </w:rPr>
        <w:t>,</w:t>
      </w:r>
      <w:r w:rsidRPr="001B28C5">
        <w:rPr>
          <w:rFonts w:ascii="Times New Roman" w:hAnsi="Times New Roman" w:cs="Times New Roman"/>
          <w:i/>
          <w:sz w:val="20"/>
          <w:szCs w:val="20"/>
        </w:rPr>
        <w:t xml:space="preserve"> I., Sofian</w:t>
      </w:r>
      <w:r>
        <w:rPr>
          <w:rFonts w:ascii="Times New Roman" w:hAnsi="Times New Roman" w:cs="Times New Roman"/>
          <w:i/>
          <w:sz w:val="20"/>
          <w:szCs w:val="20"/>
        </w:rPr>
        <w:t>,</w:t>
      </w:r>
      <w:r w:rsidRPr="001B28C5">
        <w:rPr>
          <w:rFonts w:ascii="Times New Roman" w:hAnsi="Times New Roman" w:cs="Times New Roman"/>
          <w:i/>
          <w:sz w:val="20"/>
          <w:szCs w:val="20"/>
        </w:rPr>
        <w:t xml:space="preserve"> A. T.., The Credit Influence On The Economic Growth In Romania, The USV Annals of Economics and Public Adiministration, Vol</w:t>
      </w:r>
      <w:r>
        <w:rPr>
          <w:rFonts w:ascii="Times New Roman" w:hAnsi="Times New Roman" w:cs="Times New Roman"/>
          <w:i/>
          <w:sz w:val="20"/>
          <w:szCs w:val="20"/>
        </w:rPr>
        <w:t>. 17 (1(25)), pp. 118-128, 2017</w:t>
      </w:r>
    </w:p>
    <w:p w:rsidR="001F405E" w:rsidRPr="002F5B80" w:rsidRDefault="001F405E" w:rsidP="001F405E">
      <w:pPr>
        <w:spacing w:after="0" w:line="240" w:lineRule="auto"/>
        <w:jc w:val="both"/>
        <w:rPr>
          <w:rFonts w:ascii="Times New Roman" w:hAnsi="Times New Roman" w:cs="Times New Roman"/>
          <w:i/>
          <w:sz w:val="20"/>
          <w:szCs w:val="20"/>
        </w:rPr>
      </w:pPr>
      <w:r w:rsidRPr="002F5B80">
        <w:rPr>
          <w:rFonts w:ascii="Times New Roman" w:hAnsi="Times New Roman" w:cs="Times New Roman"/>
          <w:i/>
          <w:sz w:val="20"/>
          <w:szCs w:val="20"/>
        </w:rPr>
        <w:t>[10]</w:t>
      </w:r>
      <w:r w:rsidRPr="008459F3">
        <w:t xml:space="preserve"> </w:t>
      </w:r>
      <w:r w:rsidRPr="008459F3">
        <w:rPr>
          <w:rFonts w:ascii="Times New Roman" w:hAnsi="Times New Roman" w:cs="Times New Roman"/>
          <w:i/>
          <w:sz w:val="20"/>
          <w:szCs w:val="20"/>
        </w:rPr>
        <w:t>FMI, Indic</w:t>
      </w:r>
      <w:r>
        <w:rPr>
          <w:rFonts w:ascii="Times New Roman" w:hAnsi="Times New Roman" w:cs="Times New Roman"/>
          <w:i/>
          <w:sz w:val="20"/>
          <w:szCs w:val="20"/>
        </w:rPr>
        <w:t>atorii de Soliditate Financiară:</w:t>
      </w:r>
      <w:r w:rsidRPr="008459F3">
        <w:rPr>
          <w:rFonts w:ascii="Times New Roman" w:hAnsi="Times New Roman" w:cs="Times New Roman"/>
          <w:i/>
          <w:sz w:val="20"/>
          <w:szCs w:val="20"/>
        </w:rPr>
        <w:t>Ghid de compilare</w:t>
      </w:r>
    </w:p>
    <w:p w:rsidR="001F405E" w:rsidRDefault="001F405E" w:rsidP="001F405E">
      <w:pPr>
        <w:spacing w:after="0" w:line="240" w:lineRule="auto"/>
        <w:jc w:val="both"/>
        <w:rPr>
          <w:rFonts w:ascii="Times New Roman" w:hAnsi="Times New Roman" w:cs="Times New Roman"/>
          <w:i/>
          <w:sz w:val="20"/>
          <w:szCs w:val="20"/>
        </w:rPr>
      </w:pPr>
      <w:r w:rsidRPr="002F5B80">
        <w:rPr>
          <w:rFonts w:ascii="Times New Roman" w:hAnsi="Times New Roman" w:cs="Times New Roman"/>
          <w:i/>
          <w:sz w:val="20"/>
          <w:szCs w:val="20"/>
        </w:rPr>
        <w:t>[11]</w:t>
      </w:r>
      <w:r w:rsidRPr="00EE378F">
        <w:t xml:space="preserve"> </w:t>
      </w:r>
      <w:r w:rsidRPr="00EE378F">
        <w:rPr>
          <w:rFonts w:ascii="Times New Roman" w:hAnsi="Times New Roman" w:cs="Times New Roman"/>
          <w:i/>
          <w:sz w:val="20"/>
          <w:szCs w:val="20"/>
        </w:rPr>
        <w:t>Boss Michael, A Macroeconomic Credit Risk Model for Stress Testing the Austrian Credit Portfolio, Financial Stability Report 4, OeNB. 2002, pp. 64-82</w:t>
      </w:r>
    </w:p>
    <w:p w:rsidR="001F405E" w:rsidRDefault="001F405E" w:rsidP="001F405E">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[12]</w:t>
      </w:r>
      <w:r w:rsidRPr="00EE378F">
        <w:t xml:space="preserve"> </w:t>
      </w:r>
      <w:r w:rsidRPr="00EE378F">
        <w:rPr>
          <w:rFonts w:ascii="Times New Roman" w:hAnsi="Times New Roman" w:cs="Times New Roman"/>
          <w:i/>
          <w:sz w:val="20"/>
          <w:szCs w:val="20"/>
        </w:rPr>
        <w:t>Jakubik, P., Schmieder, C., Stress Testing Credit Risk: Comparison of the Czech Republic and Germany, Financial Stability Institute, Bank for International Settlements, FSI Award 2008 Winning Paper</w:t>
      </w:r>
    </w:p>
    <w:p w:rsidR="001F405E" w:rsidRDefault="001F405E" w:rsidP="001F405E">
      <w:pPr>
        <w:pStyle w:val="FootnoteText"/>
        <w:jc w:val="both"/>
        <w:rPr>
          <w:rFonts w:ascii="Times New Roman" w:hAnsi="Times New Roman" w:cs="Times New Roman"/>
          <w:i/>
        </w:rPr>
      </w:pPr>
      <w:r>
        <w:rPr>
          <w:rFonts w:ascii="Times New Roman" w:hAnsi="Times New Roman" w:cs="Times New Roman"/>
          <w:i/>
        </w:rPr>
        <w:t>[13]</w:t>
      </w:r>
      <w:r w:rsidRPr="00EE378F">
        <w:rPr>
          <w:rFonts w:ascii="Times New Roman" w:hAnsi="Times New Roman" w:cs="Times New Roman"/>
        </w:rPr>
        <w:t xml:space="preserve"> </w:t>
      </w:r>
      <w:r w:rsidRPr="00EE378F">
        <w:rPr>
          <w:rFonts w:ascii="Times New Roman" w:hAnsi="Times New Roman" w:cs="Times New Roman"/>
          <w:i/>
        </w:rPr>
        <w:t>Moinescu, B., Codirlaşu, A.,  Dinamica sectorială a ratei creditelor neperformante: repere economice şi monetare Economie teoretică şi aplicată, Volumul XIX (2012), No. 2(567), pp. 40</w:t>
      </w:r>
      <w:r w:rsidRPr="00EE378F">
        <w:rPr>
          <w:rFonts w:ascii="Times New Roman" w:hAnsi="Times New Roman" w:cs="Times New Roman"/>
          <w:b/>
          <w:i/>
        </w:rPr>
        <w:t>-</w:t>
      </w:r>
      <w:r>
        <w:rPr>
          <w:rFonts w:ascii="Times New Roman" w:hAnsi="Times New Roman" w:cs="Times New Roman"/>
          <w:i/>
        </w:rPr>
        <w:t>52</w:t>
      </w:r>
    </w:p>
    <w:p w:rsidR="001F405E" w:rsidRDefault="001F405E" w:rsidP="001F405E">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[14]</w:t>
      </w:r>
      <w:r w:rsidR="0038655A">
        <w:rPr>
          <w:rFonts w:ascii="Times New Roman" w:hAnsi="Times New Roman" w:cs="Times New Roman"/>
          <w:i/>
          <w:sz w:val="20"/>
          <w:szCs w:val="20"/>
        </w:rPr>
        <w:t xml:space="preserve"> </w:t>
      </w:r>
      <w:r>
        <w:rPr>
          <w:rFonts w:ascii="Times New Roman" w:hAnsi="Times New Roman" w:cs="Times New Roman"/>
          <w:i/>
          <w:sz w:val="20"/>
          <w:szCs w:val="20"/>
        </w:rPr>
        <w:t>BNR, Raport asupra stabilității financiare</w:t>
      </w:r>
      <w:r w:rsidR="0038655A">
        <w:rPr>
          <w:rFonts w:ascii="Times New Roman" w:hAnsi="Times New Roman" w:cs="Times New Roman"/>
          <w:i/>
          <w:sz w:val="20"/>
          <w:szCs w:val="20"/>
        </w:rPr>
        <w:t xml:space="preserve"> nr.</w:t>
      </w:r>
      <w:r w:rsidR="0077252B">
        <w:rPr>
          <w:rFonts w:ascii="Times New Roman" w:hAnsi="Times New Roman" w:cs="Times New Roman"/>
          <w:i/>
          <w:sz w:val="20"/>
          <w:szCs w:val="20"/>
        </w:rPr>
        <w:t xml:space="preserve"> </w:t>
      </w:r>
      <w:r w:rsidR="0038655A">
        <w:rPr>
          <w:rFonts w:ascii="Times New Roman" w:hAnsi="Times New Roman" w:cs="Times New Roman"/>
          <w:i/>
          <w:sz w:val="20"/>
          <w:szCs w:val="20"/>
        </w:rPr>
        <w:t>4, decembrie 2017</w:t>
      </w:r>
    </w:p>
    <w:p w:rsidR="001F405E" w:rsidRPr="002F5B80" w:rsidRDefault="001F405E" w:rsidP="001F405E">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[15]</w:t>
      </w:r>
      <w:r w:rsidR="00896D97" w:rsidRPr="00896D97">
        <w:t xml:space="preserve"> </w:t>
      </w:r>
      <w:r w:rsidR="00896D97" w:rsidRPr="00896D97">
        <w:rPr>
          <w:rFonts w:ascii="Times New Roman" w:hAnsi="Times New Roman" w:cs="Times New Roman"/>
          <w:i/>
          <w:sz w:val="20"/>
          <w:szCs w:val="20"/>
        </w:rPr>
        <w:t>BNR, Raport asupra stabilității finan</w:t>
      </w:r>
      <w:r w:rsidR="00896D97">
        <w:rPr>
          <w:rFonts w:ascii="Times New Roman" w:hAnsi="Times New Roman" w:cs="Times New Roman"/>
          <w:i/>
          <w:sz w:val="20"/>
          <w:szCs w:val="20"/>
        </w:rPr>
        <w:t>ciare nr. 5, iunie 2018</w:t>
      </w:r>
    </w:p>
    <w:p w:rsidR="001F405E" w:rsidRDefault="001F405E" w:rsidP="001F405E">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[16]</w:t>
      </w:r>
      <w:r w:rsidR="00905A6C">
        <w:rPr>
          <w:rFonts w:ascii="Times New Roman" w:hAnsi="Times New Roman" w:cs="Times New Roman"/>
          <w:i/>
          <w:sz w:val="20"/>
          <w:szCs w:val="20"/>
        </w:rPr>
        <w:t xml:space="preserve"> </w:t>
      </w:r>
      <w:r w:rsidR="00186176">
        <w:rPr>
          <w:rFonts w:ascii="Times New Roman" w:hAnsi="Times New Roman" w:cs="Times New Roman"/>
          <w:i/>
          <w:sz w:val="20"/>
          <w:szCs w:val="20"/>
        </w:rPr>
        <w:t>BNR,</w:t>
      </w:r>
      <w:r w:rsidR="00186176" w:rsidRPr="00186176">
        <w:t xml:space="preserve"> </w:t>
      </w:r>
      <w:r w:rsidR="00186176" w:rsidRPr="00186176">
        <w:rPr>
          <w:rFonts w:ascii="Times New Roman" w:hAnsi="Times New Roman" w:cs="Times New Roman"/>
          <w:i/>
          <w:sz w:val="20"/>
          <w:szCs w:val="20"/>
        </w:rPr>
        <w:t>Analiza creditelor în franci elveţieni</w:t>
      </w:r>
      <w:r w:rsidR="00186176">
        <w:rPr>
          <w:rFonts w:ascii="Times New Roman" w:hAnsi="Times New Roman" w:cs="Times New Roman"/>
          <w:i/>
          <w:sz w:val="20"/>
          <w:szCs w:val="20"/>
        </w:rPr>
        <w:t>,</w:t>
      </w:r>
      <w:r w:rsidR="00186176" w:rsidRPr="00186176">
        <w:rPr>
          <w:rFonts w:ascii="Times New Roman" w:hAnsi="Times New Roman" w:cs="Times New Roman"/>
          <w:i/>
          <w:sz w:val="20"/>
          <w:szCs w:val="20"/>
        </w:rPr>
        <w:t>2015</w:t>
      </w:r>
      <w:r w:rsidR="00905A6C">
        <w:rPr>
          <w:rFonts w:ascii="Times New Roman" w:hAnsi="Times New Roman" w:cs="Times New Roman"/>
          <w:i/>
          <w:sz w:val="20"/>
          <w:szCs w:val="20"/>
        </w:rPr>
        <w:t>,p.8</w:t>
      </w:r>
    </w:p>
    <w:p w:rsidR="00186176" w:rsidRPr="00186176" w:rsidRDefault="00186176" w:rsidP="001F405E">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[17]</w:t>
      </w:r>
      <w:r w:rsidRPr="00186176">
        <w:t xml:space="preserve"> </w:t>
      </w:r>
      <w:r w:rsidRPr="00186176">
        <w:rPr>
          <w:rFonts w:ascii="Times New Roman" w:hAnsi="Times New Roman" w:cs="Times New Roman"/>
          <w:i/>
          <w:sz w:val="20"/>
          <w:szCs w:val="20"/>
        </w:rPr>
        <w:t>BNR, Analiza creditelor în franci elveţieni,2015</w:t>
      </w:r>
      <w:r w:rsidR="00905A6C">
        <w:rPr>
          <w:rFonts w:ascii="Times New Roman" w:hAnsi="Times New Roman" w:cs="Times New Roman"/>
          <w:i/>
          <w:sz w:val="20"/>
          <w:szCs w:val="20"/>
        </w:rPr>
        <w:t>,</w:t>
      </w:r>
      <w:r>
        <w:rPr>
          <w:rFonts w:ascii="Times New Roman" w:hAnsi="Times New Roman" w:cs="Times New Roman"/>
          <w:i/>
          <w:sz w:val="20"/>
          <w:szCs w:val="20"/>
        </w:rPr>
        <w:t>p.15</w:t>
      </w:r>
    </w:p>
    <w:p w:rsidR="001F405E" w:rsidRPr="007027FD" w:rsidRDefault="007027FD" w:rsidP="001F405E">
      <w:pPr>
        <w:spacing w:after="0" w:line="240" w:lineRule="auto"/>
        <w:jc w:val="both"/>
        <w:rPr>
          <w:rFonts w:ascii="Times New Roman" w:hAnsi="Times New Roman" w:cs="Times New Roman"/>
          <w:i/>
          <w:sz w:val="20"/>
          <w:szCs w:val="20"/>
        </w:rPr>
      </w:pPr>
      <w:r w:rsidRPr="007027FD">
        <w:rPr>
          <w:rFonts w:ascii="Times New Roman" w:hAnsi="Times New Roman" w:cs="Times New Roman"/>
          <w:i/>
          <w:sz w:val="20"/>
          <w:szCs w:val="20"/>
        </w:rPr>
        <w:t>[18]BNR, Raport asup</w:t>
      </w:r>
      <w:r>
        <w:rPr>
          <w:rFonts w:ascii="Times New Roman" w:hAnsi="Times New Roman" w:cs="Times New Roman"/>
          <w:i/>
          <w:sz w:val="20"/>
          <w:szCs w:val="20"/>
        </w:rPr>
        <w:t>ra stabilității financiare nr. 3, mai</w:t>
      </w:r>
      <w:r w:rsidRPr="007027FD">
        <w:rPr>
          <w:rFonts w:ascii="Times New Roman" w:hAnsi="Times New Roman" w:cs="Times New Roman"/>
          <w:i/>
          <w:sz w:val="20"/>
          <w:szCs w:val="20"/>
        </w:rPr>
        <w:t xml:space="preserve"> 2017</w:t>
      </w:r>
    </w:p>
    <w:p w:rsidR="007027FD" w:rsidRPr="00B17DD6" w:rsidRDefault="007027FD" w:rsidP="001F405E">
      <w:pPr>
        <w:spacing w:after="0" w:line="240" w:lineRule="auto"/>
        <w:jc w:val="both"/>
        <w:rPr>
          <w:rFonts w:ascii="Times New Roman" w:hAnsi="Times New Roman" w:cs="Times New Roman"/>
          <w:i/>
          <w:sz w:val="20"/>
          <w:szCs w:val="20"/>
          <w:lang w:val="ro-RO"/>
        </w:rPr>
      </w:pPr>
      <w:r w:rsidRPr="007027FD">
        <w:rPr>
          <w:rFonts w:ascii="Times New Roman" w:hAnsi="Times New Roman" w:cs="Times New Roman"/>
          <w:i/>
          <w:sz w:val="20"/>
          <w:szCs w:val="20"/>
        </w:rPr>
        <w:t>[</w:t>
      </w:r>
      <w:r w:rsidR="00B17DD6">
        <w:rPr>
          <w:rFonts w:ascii="Times New Roman" w:hAnsi="Times New Roman" w:cs="Times New Roman"/>
          <w:i/>
          <w:sz w:val="20"/>
          <w:szCs w:val="20"/>
        </w:rPr>
        <w:t>19</w:t>
      </w:r>
      <w:r w:rsidRPr="007027FD">
        <w:rPr>
          <w:rFonts w:ascii="Times New Roman" w:hAnsi="Times New Roman" w:cs="Times New Roman"/>
          <w:i/>
          <w:sz w:val="20"/>
          <w:szCs w:val="20"/>
        </w:rPr>
        <w:t>]</w:t>
      </w:r>
      <w:r w:rsidR="00B17DD6">
        <w:rPr>
          <w:rFonts w:ascii="Times New Roman" w:hAnsi="Times New Roman" w:cs="Times New Roman"/>
          <w:i/>
          <w:sz w:val="20"/>
          <w:szCs w:val="20"/>
        </w:rPr>
        <w:t>Mor</w:t>
      </w:r>
      <w:r w:rsidR="00B17DD6">
        <w:rPr>
          <w:rFonts w:ascii="Times New Roman" w:hAnsi="Times New Roman" w:cs="Times New Roman"/>
          <w:i/>
          <w:sz w:val="20"/>
          <w:szCs w:val="20"/>
          <w:lang w:val="ro-RO"/>
        </w:rPr>
        <w:t>oșan Gheorghe, Produse și servicii bancare,ediția a II a,  Editura Pim, Iași, 2018, p.9</w:t>
      </w:r>
    </w:p>
    <w:p w:rsidR="001F405E" w:rsidRPr="00142897" w:rsidRDefault="00533042" w:rsidP="001F405E">
      <w:pPr>
        <w:spacing w:after="0" w:line="240" w:lineRule="auto"/>
        <w:jc w:val="both"/>
        <w:rPr>
          <w:rFonts w:ascii="Times New Roman" w:hAnsi="Times New Roman" w:cs="Times New Roman"/>
          <w:b/>
          <w:sz w:val="24"/>
          <w:szCs w:val="24"/>
        </w:rPr>
      </w:pPr>
      <w:r w:rsidRPr="00533042">
        <w:rPr>
          <w:rFonts w:ascii="Times New Roman" w:hAnsi="Times New Roman" w:cs="Times New Roman"/>
          <w:b/>
          <w:sz w:val="24"/>
          <w:szCs w:val="24"/>
        </w:rPr>
        <w:t>BIBLIOGRAPHY</w:t>
      </w:r>
    </w:p>
    <w:p w:rsidR="001F405E" w:rsidRPr="00133CD7" w:rsidRDefault="001F405E"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1.</w:t>
      </w:r>
      <w:r w:rsidRPr="00133CD7">
        <w:rPr>
          <w:rFonts w:ascii="Times New Roman" w:hAnsi="Times New Roman" w:cs="Times New Roman"/>
          <w:sz w:val="24"/>
          <w:szCs w:val="24"/>
        </w:rPr>
        <w:tab/>
        <w:t>Baranga, D., C., Baranga, C., Managementul resurselor financiar-bancar</w:t>
      </w:r>
      <w:r w:rsidR="0011475C" w:rsidRPr="00133CD7">
        <w:rPr>
          <w:rFonts w:ascii="Times New Roman" w:hAnsi="Times New Roman" w:cs="Times New Roman"/>
          <w:sz w:val="24"/>
          <w:szCs w:val="24"/>
        </w:rPr>
        <w:t xml:space="preserve">e, National Defense University </w:t>
      </w:r>
      <w:r w:rsidR="0011475C" w:rsidRPr="00133CD7">
        <w:rPr>
          <w:rFonts w:ascii="Times New Roman" w:hAnsi="Times New Roman" w:cs="Times New Roman"/>
          <w:sz w:val="24"/>
          <w:szCs w:val="24"/>
          <w:lang w:val="ro-RO"/>
        </w:rPr>
        <w:t>„</w:t>
      </w:r>
      <w:r w:rsidRPr="00133CD7">
        <w:rPr>
          <w:rFonts w:ascii="Times New Roman" w:hAnsi="Times New Roman" w:cs="Times New Roman"/>
          <w:i/>
          <w:sz w:val="24"/>
          <w:szCs w:val="24"/>
        </w:rPr>
        <w:t>Carol I</w:t>
      </w:r>
      <w:r w:rsidRPr="00133CD7">
        <w:rPr>
          <w:rFonts w:ascii="Times New Roman" w:hAnsi="Times New Roman" w:cs="Times New Roman"/>
          <w:sz w:val="24"/>
          <w:szCs w:val="24"/>
        </w:rPr>
        <w:t>” Publishing House, Bucharest, 2007</w:t>
      </w:r>
    </w:p>
    <w:p w:rsidR="001F405E" w:rsidRPr="00133CD7" w:rsidRDefault="001F405E"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2.</w:t>
      </w:r>
      <w:r w:rsidRPr="00133CD7">
        <w:rPr>
          <w:rFonts w:ascii="Times New Roman" w:hAnsi="Times New Roman" w:cs="Times New Roman"/>
          <w:sz w:val="24"/>
          <w:szCs w:val="24"/>
        </w:rPr>
        <w:tab/>
        <w:t>Blanaru. A., Rolul băncilor în activitatea de intermediere financiară, EIRP Proceedings, Vol. 1, pp. 443</w:t>
      </w:r>
      <w:r w:rsidRPr="00133CD7">
        <w:rPr>
          <w:rFonts w:ascii="Times New Roman" w:hAnsi="Times New Roman" w:cs="Times New Roman"/>
          <w:b/>
          <w:sz w:val="24"/>
          <w:szCs w:val="24"/>
        </w:rPr>
        <w:t>-</w:t>
      </w:r>
      <w:r w:rsidRPr="00133CD7">
        <w:rPr>
          <w:rFonts w:ascii="Times New Roman" w:hAnsi="Times New Roman" w:cs="Times New Roman"/>
          <w:sz w:val="24"/>
          <w:szCs w:val="24"/>
        </w:rPr>
        <w:t>448, 2006</w:t>
      </w:r>
    </w:p>
    <w:p w:rsidR="00296FBD" w:rsidRPr="00133CD7" w:rsidRDefault="00296FBD" w:rsidP="00296FBD">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3.BNR, Raport asupra stabilității financiare nr. 4, decembrie 2017</w:t>
      </w:r>
    </w:p>
    <w:p w:rsidR="00296FBD" w:rsidRPr="00133CD7" w:rsidRDefault="00296FBD" w:rsidP="00296FBD">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4.BNR, Raport asupra stabilității financiare nr. 5, iunie 2018</w:t>
      </w:r>
    </w:p>
    <w:p w:rsidR="00296FBD" w:rsidRPr="00133CD7" w:rsidRDefault="00296FBD" w:rsidP="00296FBD">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5.BNR, Analiza creditelor în franci elveţieni, 2015</w:t>
      </w:r>
    </w:p>
    <w:p w:rsidR="00296FBD" w:rsidRPr="00133CD7" w:rsidRDefault="00296FBD" w:rsidP="00296FBD">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6.BNR, Raport asupra stabilității financiare nr. 3, mai 2017</w:t>
      </w:r>
    </w:p>
    <w:p w:rsidR="00296FBD"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7. Boss Michael, A Macroeconomic Credit Risk Model for Stress Testing the Austrian Credit Portfolio, Financial Stability Report 4, OeNB. 2002</w:t>
      </w:r>
    </w:p>
    <w:p w:rsidR="001F405E"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8</w:t>
      </w:r>
      <w:r w:rsidR="001F405E" w:rsidRPr="00133CD7">
        <w:rPr>
          <w:rFonts w:ascii="Times New Roman" w:hAnsi="Times New Roman" w:cs="Times New Roman"/>
          <w:sz w:val="24"/>
          <w:szCs w:val="24"/>
        </w:rPr>
        <w:t>.</w:t>
      </w:r>
      <w:r w:rsidR="001F405E" w:rsidRPr="00133CD7">
        <w:rPr>
          <w:rFonts w:ascii="Times New Roman" w:hAnsi="Times New Roman" w:cs="Times New Roman"/>
          <w:sz w:val="24"/>
          <w:szCs w:val="24"/>
        </w:rPr>
        <w:tab/>
        <w:t>Costică, I., Laz</w:t>
      </w:r>
      <w:r w:rsidR="001F405E" w:rsidRPr="00133CD7">
        <w:rPr>
          <w:rFonts w:ascii="Times New Roman" w:hAnsi="Times New Roman" w:cs="Times New Roman"/>
          <w:sz w:val="24"/>
          <w:szCs w:val="24"/>
          <w:lang w:val="ro-RO"/>
        </w:rPr>
        <w:t>ă</w:t>
      </w:r>
      <w:r w:rsidR="001F405E" w:rsidRPr="00133CD7">
        <w:rPr>
          <w:rFonts w:ascii="Times New Roman" w:hAnsi="Times New Roman" w:cs="Times New Roman"/>
          <w:sz w:val="24"/>
          <w:szCs w:val="24"/>
        </w:rPr>
        <w:t>rescu S.A., Politici și tehnici bancare, Editura ASE, București, 2004.</w:t>
      </w:r>
    </w:p>
    <w:p w:rsidR="001F405E"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9</w:t>
      </w:r>
      <w:r w:rsidR="001F405E" w:rsidRPr="00133CD7">
        <w:rPr>
          <w:rFonts w:ascii="Times New Roman" w:hAnsi="Times New Roman" w:cs="Times New Roman"/>
          <w:sz w:val="24"/>
          <w:szCs w:val="24"/>
        </w:rPr>
        <w:t>.</w:t>
      </w:r>
      <w:r w:rsidR="001F405E" w:rsidRPr="00133CD7">
        <w:rPr>
          <w:rFonts w:ascii="Times New Roman" w:hAnsi="Times New Roman" w:cs="Times New Roman"/>
          <w:sz w:val="24"/>
          <w:szCs w:val="24"/>
        </w:rPr>
        <w:tab/>
        <w:t xml:space="preserve">Dardac, N., Vaşcu, T., Monedă și Credit, </w:t>
      </w:r>
      <w:r w:rsidR="001F405E" w:rsidRPr="00133CD7">
        <w:rPr>
          <w:rFonts w:ascii="Times New Roman" w:hAnsi="Times New Roman" w:cs="Times New Roman"/>
          <w:b/>
          <w:sz w:val="24"/>
          <w:szCs w:val="24"/>
        </w:rPr>
        <w:t>-</w:t>
      </w:r>
      <w:r w:rsidR="001F405E" w:rsidRPr="00133CD7">
        <w:rPr>
          <w:rFonts w:ascii="Times New Roman" w:hAnsi="Times New Roman" w:cs="Times New Roman"/>
          <w:sz w:val="24"/>
          <w:szCs w:val="24"/>
        </w:rPr>
        <w:t xml:space="preserve"> Module 2, valabil online la http://www.biblioteca-digitala.ase.ro/biblioteca/carte2.asp?id=99&amp;idb </w:t>
      </w:r>
    </w:p>
    <w:p w:rsidR="001F405E"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10</w:t>
      </w:r>
      <w:r w:rsidR="001F405E" w:rsidRPr="00133CD7">
        <w:rPr>
          <w:rFonts w:ascii="Times New Roman" w:hAnsi="Times New Roman" w:cs="Times New Roman"/>
          <w:sz w:val="24"/>
          <w:szCs w:val="24"/>
        </w:rPr>
        <w:t>.</w:t>
      </w:r>
      <w:r w:rsidR="001F405E" w:rsidRPr="00133CD7">
        <w:rPr>
          <w:rFonts w:ascii="Times New Roman" w:hAnsi="Times New Roman" w:cs="Times New Roman"/>
          <w:sz w:val="24"/>
          <w:szCs w:val="24"/>
        </w:rPr>
        <w:tab/>
        <w:t xml:space="preserve">European Banking Authority, Risk Dashboard Q4, 2017; valabil online pe </w:t>
      </w:r>
      <w:hyperlink r:id="rId21" w:history="1">
        <w:r w:rsidR="001F405E" w:rsidRPr="00133CD7">
          <w:rPr>
            <w:rStyle w:val="Hyperlink"/>
            <w:rFonts w:ascii="Times New Roman" w:hAnsi="Times New Roman" w:cs="Times New Roman"/>
            <w:sz w:val="24"/>
            <w:szCs w:val="24"/>
          </w:rPr>
          <w:t>https://www.eba.europa.eu/documents/10180/2175405/EBA+Dashboard+-+Q4+2017.pdf</w:t>
        </w:r>
      </w:hyperlink>
    </w:p>
    <w:p w:rsidR="001F405E"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11</w:t>
      </w:r>
      <w:r w:rsidR="001F405E" w:rsidRPr="00133CD7">
        <w:rPr>
          <w:rFonts w:ascii="Times New Roman" w:hAnsi="Times New Roman" w:cs="Times New Roman"/>
          <w:sz w:val="24"/>
          <w:szCs w:val="24"/>
        </w:rPr>
        <w:t>. FMI, Indicatorii de Soliditate Financiară: Ghid de compilare</w:t>
      </w:r>
    </w:p>
    <w:p w:rsidR="001F405E"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12</w:t>
      </w:r>
      <w:r w:rsidR="001F405E" w:rsidRPr="00133CD7">
        <w:rPr>
          <w:rFonts w:ascii="Times New Roman" w:hAnsi="Times New Roman" w:cs="Times New Roman"/>
          <w:sz w:val="24"/>
          <w:szCs w:val="24"/>
        </w:rPr>
        <w:t>.</w:t>
      </w:r>
      <w:r w:rsidR="001F405E" w:rsidRPr="00133CD7">
        <w:rPr>
          <w:rFonts w:ascii="Times New Roman" w:hAnsi="Times New Roman" w:cs="Times New Roman"/>
          <w:sz w:val="24"/>
          <w:szCs w:val="24"/>
        </w:rPr>
        <w:tab/>
        <w:t>Isaic</w:t>
      </w:r>
      <w:r w:rsidR="001F405E" w:rsidRPr="00133CD7">
        <w:rPr>
          <w:rFonts w:ascii="Times New Roman" w:hAnsi="Times New Roman" w:cs="Times New Roman"/>
          <w:b/>
          <w:sz w:val="24"/>
          <w:szCs w:val="24"/>
        </w:rPr>
        <w:t>-</w:t>
      </w:r>
      <w:r w:rsidR="001F405E" w:rsidRPr="00133CD7">
        <w:rPr>
          <w:rFonts w:ascii="Times New Roman" w:hAnsi="Times New Roman" w:cs="Times New Roman"/>
          <w:sz w:val="24"/>
          <w:szCs w:val="24"/>
        </w:rPr>
        <w:t>Maniu, I., Măsurarea și analiza statistică a riscului în Romania, Editura ASE București, 2003</w:t>
      </w:r>
    </w:p>
    <w:p w:rsidR="001F405E"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13</w:t>
      </w:r>
      <w:r w:rsidR="001F405E" w:rsidRPr="00133CD7">
        <w:rPr>
          <w:rFonts w:ascii="Times New Roman" w:hAnsi="Times New Roman" w:cs="Times New Roman"/>
          <w:sz w:val="24"/>
          <w:szCs w:val="24"/>
        </w:rPr>
        <w:t>.</w:t>
      </w:r>
      <w:r w:rsidR="001F405E" w:rsidRPr="00133CD7">
        <w:rPr>
          <w:rFonts w:ascii="Times New Roman" w:hAnsi="Times New Roman" w:cs="Times New Roman"/>
          <w:sz w:val="24"/>
          <w:szCs w:val="24"/>
        </w:rPr>
        <w:tab/>
        <w:t xml:space="preserve">Iuga I, Dimensiunile proecesului de analiză a creditului și riscul de credit, valabil online la </w:t>
      </w:r>
      <w:hyperlink r:id="rId22" w:history="1">
        <w:r w:rsidRPr="00133CD7">
          <w:rPr>
            <w:rStyle w:val="Hyperlink"/>
            <w:rFonts w:ascii="Times New Roman" w:hAnsi="Times New Roman" w:cs="Times New Roman"/>
            <w:sz w:val="24"/>
            <w:szCs w:val="24"/>
          </w:rPr>
          <w:t>http://www.oeconomica.uab.ro/upload/lucrari/820063/8.pdf</w:t>
        </w:r>
      </w:hyperlink>
      <w:r w:rsidR="001F405E" w:rsidRPr="00133CD7">
        <w:rPr>
          <w:rFonts w:ascii="Times New Roman" w:hAnsi="Times New Roman" w:cs="Times New Roman"/>
          <w:sz w:val="24"/>
          <w:szCs w:val="24"/>
        </w:rPr>
        <w:t xml:space="preserve"> </w:t>
      </w:r>
    </w:p>
    <w:p w:rsidR="00296FBD"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14.Jakubik, P., Schmieder, C., Stress Testing Credit Risk: Comparison of the Czech Republic and Germany, Financial Stability Institute, Bank for International Settlements, FSI Award 2008 Winning Paper</w:t>
      </w:r>
    </w:p>
    <w:p w:rsidR="001F405E"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15</w:t>
      </w:r>
      <w:r w:rsidR="001F405E" w:rsidRPr="00133CD7">
        <w:rPr>
          <w:rFonts w:ascii="Times New Roman" w:hAnsi="Times New Roman" w:cs="Times New Roman"/>
          <w:sz w:val="24"/>
          <w:szCs w:val="24"/>
        </w:rPr>
        <w:t>.</w:t>
      </w:r>
      <w:r w:rsidR="001F405E" w:rsidRPr="00133CD7">
        <w:rPr>
          <w:rFonts w:ascii="Times New Roman" w:hAnsi="Times New Roman" w:cs="Times New Roman"/>
          <w:sz w:val="24"/>
          <w:szCs w:val="24"/>
        </w:rPr>
        <w:tab/>
        <w:t>Kock, T., W., Bank Management, The Dryden Press , Part II: Managing Interest Rate Risk, 1995</w:t>
      </w:r>
    </w:p>
    <w:p w:rsidR="001F405E"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lastRenderedPageBreak/>
        <w:t>16</w:t>
      </w:r>
      <w:r w:rsidR="001F405E" w:rsidRPr="00133CD7">
        <w:rPr>
          <w:rFonts w:ascii="Times New Roman" w:hAnsi="Times New Roman" w:cs="Times New Roman"/>
          <w:sz w:val="24"/>
          <w:szCs w:val="24"/>
        </w:rPr>
        <w:t>. Moinescu, B., Codirlaşu, A.,  Dinamica sectorială a ratei creditelor neperformante: repere economice şi monetare Economie teoretică şi aplicată, Volumul XIX (2012), No. 2(567), pp. 40</w:t>
      </w:r>
      <w:r w:rsidR="001F405E" w:rsidRPr="00133CD7">
        <w:rPr>
          <w:rFonts w:ascii="Times New Roman" w:hAnsi="Times New Roman" w:cs="Times New Roman"/>
          <w:b/>
          <w:sz w:val="24"/>
          <w:szCs w:val="24"/>
        </w:rPr>
        <w:t>-</w:t>
      </w:r>
      <w:r w:rsidR="001F405E" w:rsidRPr="00133CD7">
        <w:rPr>
          <w:rFonts w:ascii="Times New Roman" w:hAnsi="Times New Roman" w:cs="Times New Roman"/>
          <w:sz w:val="24"/>
          <w:szCs w:val="24"/>
        </w:rPr>
        <w:t>52</w:t>
      </w:r>
    </w:p>
    <w:p w:rsidR="001F405E" w:rsidRPr="00133CD7" w:rsidRDefault="00296FBD" w:rsidP="001F405E">
      <w:pPr>
        <w:tabs>
          <w:tab w:val="left" w:pos="270"/>
          <w:tab w:val="left" w:pos="36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17</w:t>
      </w:r>
      <w:r w:rsidR="001F405E" w:rsidRPr="00133CD7">
        <w:rPr>
          <w:rFonts w:ascii="Times New Roman" w:hAnsi="Times New Roman" w:cs="Times New Roman"/>
          <w:sz w:val="24"/>
          <w:szCs w:val="24"/>
        </w:rPr>
        <w:t>.</w:t>
      </w:r>
      <w:r w:rsidR="001F405E" w:rsidRPr="00133CD7">
        <w:rPr>
          <w:rFonts w:ascii="Times New Roman" w:hAnsi="Times New Roman" w:cs="Times New Roman"/>
          <w:sz w:val="24"/>
          <w:szCs w:val="24"/>
        </w:rPr>
        <w:tab/>
        <w:t>Moroșan, Gh., Condratov, I., Sofian, A. T., The Credit Influence On The Economic Growth In Romania, The USV Annals of Economics and Public Adiministration, Vol. 17 (1(25)), pp. 118-128, 2017</w:t>
      </w:r>
    </w:p>
    <w:p w:rsidR="00B17DD6" w:rsidRPr="00133CD7" w:rsidRDefault="00296FBD" w:rsidP="001F405E">
      <w:pPr>
        <w:tabs>
          <w:tab w:val="left" w:pos="270"/>
          <w:tab w:val="left" w:pos="36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18</w:t>
      </w:r>
      <w:r w:rsidR="00B17DD6" w:rsidRPr="00133CD7">
        <w:rPr>
          <w:rFonts w:ascii="Times New Roman" w:hAnsi="Times New Roman" w:cs="Times New Roman"/>
          <w:sz w:val="24"/>
          <w:szCs w:val="24"/>
        </w:rPr>
        <w:t>. Moroșan, Gh., Produse și servicii bancare, ediția a II,  Editura Pim, Iași, 2018</w:t>
      </w:r>
    </w:p>
    <w:p w:rsidR="001F405E" w:rsidRPr="00133CD7" w:rsidRDefault="001F405E"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1</w:t>
      </w:r>
      <w:r w:rsidR="00296FBD" w:rsidRPr="00133CD7">
        <w:rPr>
          <w:rFonts w:ascii="Times New Roman" w:hAnsi="Times New Roman" w:cs="Times New Roman"/>
          <w:sz w:val="24"/>
          <w:szCs w:val="24"/>
        </w:rPr>
        <w:t>9</w:t>
      </w:r>
      <w:r w:rsidRPr="00133CD7">
        <w:rPr>
          <w:rFonts w:ascii="Times New Roman" w:hAnsi="Times New Roman" w:cs="Times New Roman"/>
          <w:sz w:val="24"/>
          <w:szCs w:val="24"/>
        </w:rPr>
        <w:t>. Stoica, M., Management bancar, Ed. Economică, București, 1999</w:t>
      </w:r>
    </w:p>
    <w:p w:rsidR="001F405E" w:rsidRPr="00133CD7" w:rsidRDefault="00296FBD" w:rsidP="001F405E">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20</w:t>
      </w:r>
      <w:r w:rsidR="001F405E" w:rsidRPr="00133CD7">
        <w:rPr>
          <w:rFonts w:ascii="Times New Roman" w:hAnsi="Times New Roman" w:cs="Times New Roman"/>
          <w:sz w:val="24"/>
          <w:szCs w:val="24"/>
        </w:rPr>
        <w:t>. Toma, S.B. (teză de doctorat), Performanţe Bancare în Economia României</w:t>
      </w:r>
    </w:p>
    <w:p w:rsidR="001F405E" w:rsidRPr="00133CD7" w:rsidRDefault="00296FBD" w:rsidP="00296FBD">
      <w:pPr>
        <w:tabs>
          <w:tab w:val="left" w:pos="27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 xml:space="preserve">21. UE, Regulamentul nr. 575/2013 privind cerințele prudențiale pentru instituțiile de credit și societățile de investiții și de modificare a Regulamentului (UE) nr. 648/2012 </w:t>
      </w:r>
    </w:p>
    <w:p w:rsidR="001F405E" w:rsidRPr="00133CD7" w:rsidRDefault="001F405E" w:rsidP="001F405E">
      <w:pPr>
        <w:tabs>
          <w:tab w:val="left" w:pos="270"/>
        </w:tabs>
        <w:spacing w:after="0" w:line="240" w:lineRule="auto"/>
        <w:jc w:val="both"/>
        <w:rPr>
          <w:rFonts w:ascii="Times New Roman" w:hAnsi="Times New Roman" w:cs="Times New Roman"/>
          <w:b/>
          <w:sz w:val="24"/>
          <w:szCs w:val="24"/>
        </w:rPr>
      </w:pPr>
      <w:r w:rsidRPr="00133CD7">
        <w:rPr>
          <w:rFonts w:ascii="Times New Roman" w:hAnsi="Times New Roman" w:cs="Times New Roman"/>
          <w:b/>
          <w:sz w:val="24"/>
          <w:szCs w:val="24"/>
        </w:rPr>
        <w:t>Resurse web:</w:t>
      </w:r>
    </w:p>
    <w:p w:rsidR="001F405E" w:rsidRPr="00133CD7" w:rsidRDefault="00296FBD" w:rsidP="00B17DD6">
      <w:pPr>
        <w:tabs>
          <w:tab w:val="left" w:pos="270"/>
        </w:tabs>
        <w:spacing w:after="0" w:line="240" w:lineRule="auto"/>
        <w:ind w:left="360" w:hanging="360"/>
        <w:jc w:val="both"/>
        <w:rPr>
          <w:rFonts w:ascii="Times New Roman" w:hAnsi="Times New Roman" w:cs="Times New Roman"/>
          <w:sz w:val="24"/>
          <w:szCs w:val="24"/>
        </w:rPr>
      </w:pPr>
      <w:r w:rsidRPr="00133CD7">
        <w:rPr>
          <w:rFonts w:ascii="Times New Roman" w:hAnsi="Times New Roman" w:cs="Times New Roman"/>
          <w:sz w:val="24"/>
          <w:szCs w:val="24"/>
        </w:rPr>
        <w:t>22</w:t>
      </w:r>
      <w:r w:rsidR="001F405E" w:rsidRPr="00133CD7">
        <w:rPr>
          <w:rFonts w:ascii="Times New Roman" w:hAnsi="Times New Roman" w:cs="Times New Roman"/>
          <w:sz w:val="24"/>
          <w:szCs w:val="24"/>
        </w:rPr>
        <w:t>.</w:t>
      </w:r>
      <w:r w:rsidR="001F405E" w:rsidRPr="00133CD7">
        <w:rPr>
          <w:rFonts w:ascii="Times New Roman" w:hAnsi="Times New Roman" w:cs="Times New Roman"/>
          <w:sz w:val="24"/>
          <w:szCs w:val="24"/>
        </w:rPr>
        <w:tab/>
        <w:t>https://www.eba.europa.eu/documents/10180/2175405/EBA+Dashboard+-+Q4+2017.</w:t>
      </w:r>
      <w:r w:rsidR="000B0EA6" w:rsidRPr="00133CD7">
        <w:rPr>
          <w:rFonts w:ascii="Times New Roman" w:hAnsi="Times New Roman" w:cs="Times New Roman"/>
          <w:sz w:val="24"/>
          <w:szCs w:val="24"/>
        </w:rPr>
        <w:t>pdf accesat la data de 12.05.18</w:t>
      </w:r>
    </w:p>
    <w:p w:rsidR="001F405E" w:rsidRPr="00133CD7" w:rsidRDefault="00296FBD" w:rsidP="00B17DD6">
      <w:pPr>
        <w:tabs>
          <w:tab w:val="left" w:pos="270"/>
          <w:tab w:val="left" w:pos="36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2</w:t>
      </w:r>
      <w:r w:rsidR="001F405E" w:rsidRPr="00133CD7">
        <w:rPr>
          <w:rFonts w:ascii="Times New Roman" w:hAnsi="Times New Roman" w:cs="Times New Roman"/>
          <w:sz w:val="24"/>
          <w:szCs w:val="24"/>
        </w:rPr>
        <w:t>3.</w:t>
      </w:r>
      <w:r w:rsidR="001F405E" w:rsidRPr="00133CD7">
        <w:rPr>
          <w:rFonts w:ascii="Times New Roman" w:hAnsi="Times New Roman" w:cs="Times New Roman"/>
          <w:sz w:val="24"/>
          <w:szCs w:val="24"/>
        </w:rPr>
        <w:tab/>
        <w:t>http://www.bnr.ro/apage.aspx?pid=404&amp;acti</w:t>
      </w:r>
      <w:r w:rsidR="000B0EA6" w:rsidRPr="00133CD7">
        <w:rPr>
          <w:rFonts w:ascii="Times New Roman" w:hAnsi="Times New Roman" w:cs="Times New Roman"/>
          <w:sz w:val="24"/>
          <w:szCs w:val="24"/>
        </w:rPr>
        <w:t>d=2 accesat la data de 13.05.18</w:t>
      </w:r>
    </w:p>
    <w:p w:rsidR="001F405E" w:rsidRPr="00133CD7" w:rsidRDefault="00296FBD" w:rsidP="00B17DD6">
      <w:pPr>
        <w:tabs>
          <w:tab w:val="left" w:pos="270"/>
          <w:tab w:val="left" w:pos="36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2</w:t>
      </w:r>
      <w:r w:rsidR="001F405E" w:rsidRPr="00133CD7">
        <w:rPr>
          <w:rFonts w:ascii="Times New Roman" w:hAnsi="Times New Roman" w:cs="Times New Roman"/>
          <w:sz w:val="24"/>
          <w:szCs w:val="24"/>
        </w:rPr>
        <w:t>4.</w:t>
      </w:r>
      <w:r w:rsidR="001F405E" w:rsidRPr="00133CD7">
        <w:rPr>
          <w:rFonts w:ascii="Times New Roman" w:hAnsi="Times New Roman" w:cs="Times New Roman"/>
          <w:sz w:val="24"/>
          <w:szCs w:val="24"/>
        </w:rPr>
        <w:tab/>
        <w:t>https://dexonline.ro/definitie/risc accesat la data de 13.05</w:t>
      </w:r>
      <w:r w:rsidR="000B0EA6" w:rsidRPr="00133CD7">
        <w:rPr>
          <w:rFonts w:ascii="Times New Roman" w:hAnsi="Times New Roman" w:cs="Times New Roman"/>
          <w:sz w:val="24"/>
          <w:szCs w:val="24"/>
        </w:rPr>
        <w:t>.18</w:t>
      </w:r>
    </w:p>
    <w:p w:rsidR="001F405E" w:rsidRPr="00133CD7" w:rsidRDefault="00296FBD" w:rsidP="00B17DD6">
      <w:pPr>
        <w:tabs>
          <w:tab w:val="left" w:pos="270"/>
        </w:tabs>
        <w:spacing w:after="0" w:line="240" w:lineRule="auto"/>
        <w:ind w:left="360" w:hanging="360"/>
        <w:jc w:val="both"/>
        <w:rPr>
          <w:rFonts w:ascii="Times New Roman" w:hAnsi="Times New Roman" w:cs="Times New Roman"/>
          <w:sz w:val="24"/>
          <w:szCs w:val="24"/>
        </w:rPr>
      </w:pPr>
      <w:r w:rsidRPr="00133CD7">
        <w:rPr>
          <w:rFonts w:ascii="Times New Roman" w:hAnsi="Times New Roman" w:cs="Times New Roman"/>
          <w:sz w:val="24"/>
          <w:szCs w:val="24"/>
        </w:rPr>
        <w:t>2</w:t>
      </w:r>
      <w:r w:rsidR="001F405E" w:rsidRPr="00133CD7">
        <w:rPr>
          <w:rFonts w:ascii="Times New Roman" w:hAnsi="Times New Roman" w:cs="Times New Roman"/>
          <w:sz w:val="24"/>
          <w:szCs w:val="24"/>
        </w:rPr>
        <w:t>5.</w:t>
      </w:r>
      <w:r w:rsidR="001F405E" w:rsidRPr="00133CD7">
        <w:rPr>
          <w:rFonts w:ascii="Times New Roman" w:hAnsi="Times New Roman" w:cs="Times New Roman"/>
          <w:sz w:val="24"/>
          <w:szCs w:val="24"/>
        </w:rPr>
        <w:tab/>
        <w:t>http://www.biblioteca-digitala.ase.ro/biblioteca/carte2.asp?id=99&amp;</w:t>
      </w:r>
      <w:r w:rsidR="000B0EA6" w:rsidRPr="00133CD7">
        <w:rPr>
          <w:rFonts w:ascii="Times New Roman" w:hAnsi="Times New Roman" w:cs="Times New Roman"/>
          <w:sz w:val="24"/>
          <w:szCs w:val="24"/>
        </w:rPr>
        <w:t>idb accesat la data de 10.05.18</w:t>
      </w:r>
    </w:p>
    <w:p w:rsidR="001F405E" w:rsidRPr="00133CD7" w:rsidRDefault="00296FBD" w:rsidP="000B0EA6">
      <w:pPr>
        <w:tabs>
          <w:tab w:val="left" w:pos="270"/>
          <w:tab w:val="left" w:pos="360"/>
        </w:tabs>
        <w:spacing w:after="0" w:line="240" w:lineRule="auto"/>
        <w:jc w:val="both"/>
        <w:rPr>
          <w:rFonts w:ascii="Times New Roman" w:hAnsi="Times New Roman" w:cs="Times New Roman"/>
          <w:sz w:val="24"/>
          <w:szCs w:val="24"/>
        </w:rPr>
      </w:pPr>
      <w:r w:rsidRPr="00133CD7">
        <w:rPr>
          <w:rFonts w:ascii="Times New Roman" w:hAnsi="Times New Roman" w:cs="Times New Roman"/>
          <w:sz w:val="24"/>
          <w:szCs w:val="24"/>
        </w:rPr>
        <w:t>2</w:t>
      </w:r>
      <w:r w:rsidR="001F405E" w:rsidRPr="00133CD7">
        <w:rPr>
          <w:rFonts w:ascii="Times New Roman" w:hAnsi="Times New Roman" w:cs="Times New Roman"/>
          <w:sz w:val="24"/>
          <w:szCs w:val="24"/>
        </w:rPr>
        <w:t>6.</w:t>
      </w:r>
      <w:r w:rsidR="001F405E" w:rsidRPr="00133CD7">
        <w:rPr>
          <w:rFonts w:ascii="Times New Roman" w:hAnsi="Times New Roman" w:cs="Times New Roman"/>
          <w:sz w:val="24"/>
          <w:szCs w:val="24"/>
        </w:rPr>
        <w:tab/>
        <w:t>http://www.oeconomica.uab.ro/upload/lucrari/820063/8.</w:t>
      </w:r>
      <w:r w:rsidR="000B0EA6" w:rsidRPr="00133CD7">
        <w:rPr>
          <w:rFonts w:ascii="Times New Roman" w:hAnsi="Times New Roman" w:cs="Times New Roman"/>
          <w:sz w:val="24"/>
          <w:szCs w:val="24"/>
        </w:rPr>
        <w:t>pdf accesat la data de 10.05.18</w:t>
      </w:r>
    </w:p>
    <w:p w:rsidR="00296FBD" w:rsidRPr="00133CD7" w:rsidRDefault="00296FBD" w:rsidP="001F405E">
      <w:pPr>
        <w:pStyle w:val="FootnoteText"/>
        <w:jc w:val="both"/>
        <w:rPr>
          <w:rFonts w:ascii="Times New Roman" w:hAnsi="Times New Roman" w:cs="Times New Roman"/>
          <w:sz w:val="24"/>
          <w:szCs w:val="24"/>
        </w:rPr>
      </w:pPr>
    </w:p>
    <w:p w:rsidR="001F405E" w:rsidRDefault="001F405E" w:rsidP="00026124">
      <w:pPr>
        <w:autoSpaceDE w:val="0"/>
        <w:autoSpaceDN w:val="0"/>
        <w:adjustRightInd w:val="0"/>
        <w:spacing w:after="0" w:line="240" w:lineRule="auto"/>
        <w:jc w:val="both"/>
        <w:rPr>
          <w:rFonts w:ascii="TimesNewRomanPSMT" w:hAnsi="TimesNewRomanPSMT" w:cs="TimesNewRomanPSMT"/>
          <w:color w:val="FF0000"/>
          <w:sz w:val="24"/>
          <w:szCs w:val="24"/>
          <w:lang w:val="ro-RO"/>
        </w:rPr>
      </w:pPr>
      <w:bookmarkStart w:id="3" w:name="_GoBack"/>
      <w:bookmarkEnd w:id="3"/>
    </w:p>
    <w:sectPr w:rsidR="001F405E" w:rsidSect="007213FE">
      <w:footerReference w:type="default" r:id="rId23"/>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504" w:rsidRDefault="00685504" w:rsidP="005C6E2C">
      <w:pPr>
        <w:spacing w:after="0" w:line="240" w:lineRule="auto"/>
      </w:pPr>
      <w:r>
        <w:separator/>
      </w:r>
    </w:p>
  </w:endnote>
  <w:endnote w:type="continuationSeparator" w:id="0">
    <w:p w:rsidR="00685504" w:rsidRDefault="00685504" w:rsidP="005C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582593"/>
      <w:docPartObj>
        <w:docPartGallery w:val="Page Numbers (Bottom of Page)"/>
        <w:docPartUnique/>
      </w:docPartObj>
    </w:sdtPr>
    <w:sdtEndPr>
      <w:rPr>
        <w:rFonts w:ascii="Times New Roman" w:hAnsi="Times New Roman" w:cs="Times New Roman"/>
        <w:noProof/>
        <w:sz w:val="20"/>
        <w:szCs w:val="20"/>
      </w:rPr>
    </w:sdtEndPr>
    <w:sdtContent>
      <w:p w:rsidR="00186176" w:rsidRPr="001F7AA5" w:rsidRDefault="00186176">
        <w:pPr>
          <w:pStyle w:val="Footer"/>
          <w:jc w:val="center"/>
          <w:rPr>
            <w:rFonts w:ascii="Times New Roman" w:hAnsi="Times New Roman" w:cs="Times New Roman"/>
            <w:sz w:val="20"/>
            <w:szCs w:val="20"/>
          </w:rPr>
        </w:pPr>
        <w:r w:rsidRPr="001F7AA5">
          <w:rPr>
            <w:rFonts w:ascii="Times New Roman" w:hAnsi="Times New Roman" w:cs="Times New Roman"/>
            <w:sz w:val="20"/>
            <w:szCs w:val="20"/>
          </w:rPr>
          <w:fldChar w:fldCharType="begin"/>
        </w:r>
        <w:r w:rsidRPr="001F7AA5">
          <w:rPr>
            <w:rFonts w:ascii="Times New Roman" w:hAnsi="Times New Roman" w:cs="Times New Roman"/>
            <w:sz w:val="20"/>
            <w:szCs w:val="20"/>
          </w:rPr>
          <w:instrText xml:space="preserve"> PAGE   \* MERGEFORMAT </w:instrText>
        </w:r>
        <w:r w:rsidRPr="001F7AA5">
          <w:rPr>
            <w:rFonts w:ascii="Times New Roman" w:hAnsi="Times New Roman" w:cs="Times New Roman"/>
            <w:sz w:val="20"/>
            <w:szCs w:val="20"/>
          </w:rPr>
          <w:fldChar w:fldCharType="separate"/>
        </w:r>
        <w:r w:rsidR="00FD1B28">
          <w:rPr>
            <w:rFonts w:ascii="Times New Roman" w:hAnsi="Times New Roman" w:cs="Times New Roman"/>
            <w:noProof/>
            <w:sz w:val="20"/>
            <w:szCs w:val="20"/>
          </w:rPr>
          <w:t>11</w:t>
        </w:r>
        <w:r w:rsidRPr="001F7AA5">
          <w:rPr>
            <w:rFonts w:ascii="Times New Roman" w:hAnsi="Times New Roman" w:cs="Times New Roman"/>
            <w:noProof/>
            <w:sz w:val="20"/>
            <w:szCs w:val="20"/>
          </w:rPr>
          <w:fldChar w:fldCharType="end"/>
        </w:r>
      </w:p>
    </w:sdtContent>
  </w:sdt>
  <w:p w:rsidR="00186176" w:rsidRDefault="00186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504" w:rsidRDefault="00685504" w:rsidP="005C6E2C">
      <w:pPr>
        <w:spacing w:after="0" w:line="240" w:lineRule="auto"/>
      </w:pPr>
      <w:r>
        <w:separator/>
      </w:r>
    </w:p>
  </w:footnote>
  <w:footnote w:type="continuationSeparator" w:id="0">
    <w:p w:rsidR="00685504" w:rsidRDefault="00685504" w:rsidP="005C6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75pt;height:8.75pt" o:bullet="t">
        <v:imagedata r:id="rId1" o:title="BD15020_"/>
      </v:shape>
    </w:pict>
  </w:numPicBullet>
  <w:numPicBullet w:numPicBulletId="1">
    <w:pict>
      <v:shape id="_x0000_i1042" type="#_x0000_t75" style="width:8.75pt;height:8.75pt" o:bullet="t">
        <v:imagedata r:id="rId2" o:title="BD14514_"/>
      </v:shape>
    </w:pict>
  </w:numPicBullet>
  <w:numPicBullet w:numPicBulletId="2">
    <w:pict>
      <v:shape id="_x0000_i1043" type="#_x0000_t75" style="width:8.75pt;height:8.75pt" o:bullet="t">
        <v:imagedata r:id="rId3" o:title="BD21504_"/>
      </v:shape>
    </w:pict>
  </w:numPicBullet>
  <w:abstractNum w:abstractNumId="0">
    <w:nsid w:val="2BE769DC"/>
    <w:multiLevelType w:val="hybridMultilevel"/>
    <w:tmpl w:val="F66E855A"/>
    <w:lvl w:ilvl="0" w:tplc="68C0FB6C">
      <w:start w:val="1"/>
      <w:numFmt w:val="bullet"/>
      <w:lvlText w:val="•"/>
      <w:lvlJc w:val="left"/>
      <w:pPr>
        <w:tabs>
          <w:tab w:val="num" w:pos="720"/>
        </w:tabs>
        <w:ind w:left="720" w:hanging="360"/>
      </w:pPr>
      <w:rPr>
        <w:rFonts w:ascii="Times New Roman" w:hAnsi="Times New Roman" w:hint="default"/>
      </w:rPr>
    </w:lvl>
    <w:lvl w:ilvl="1" w:tplc="F828AB92" w:tentative="1">
      <w:start w:val="1"/>
      <w:numFmt w:val="bullet"/>
      <w:lvlText w:val="•"/>
      <w:lvlJc w:val="left"/>
      <w:pPr>
        <w:tabs>
          <w:tab w:val="num" w:pos="1440"/>
        </w:tabs>
        <w:ind w:left="1440" w:hanging="360"/>
      </w:pPr>
      <w:rPr>
        <w:rFonts w:ascii="Times New Roman" w:hAnsi="Times New Roman" w:hint="default"/>
      </w:rPr>
    </w:lvl>
    <w:lvl w:ilvl="2" w:tplc="A43E7B84" w:tentative="1">
      <w:start w:val="1"/>
      <w:numFmt w:val="bullet"/>
      <w:lvlText w:val="•"/>
      <w:lvlJc w:val="left"/>
      <w:pPr>
        <w:tabs>
          <w:tab w:val="num" w:pos="2160"/>
        </w:tabs>
        <w:ind w:left="2160" w:hanging="360"/>
      </w:pPr>
      <w:rPr>
        <w:rFonts w:ascii="Times New Roman" w:hAnsi="Times New Roman" w:hint="default"/>
      </w:rPr>
    </w:lvl>
    <w:lvl w:ilvl="3" w:tplc="EDF8E610" w:tentative="1">
      <w:start w:val="1"/>
      <w:numFmt w:val="bullet"/>
      <w:lvlText w:val="•"/>
      <w:lvlJc w:val="left"/>
      <w:pPr>
        <w:tabs>
          <w:tab w:val="num" w:pos="2880"/>
        </w:tabs>
        <w:ind w:left="2880" w:hanging="360"/>
      </w:pPr>
      <w:rPr>
        <w:rFonts w:ascii="Times New Roman" w:hAnsi="Times New Roman" w:hint="default"/>
      </w:rPr>
    </w:lvl>
    <w:lvl w:ilvl="4" w:tplc="A6163F50" w:tentative="1">
      <w:start w:val="1"/>
      <w:numFmt w:val="bullet"/>
      <w:lvlText w:val="•"/>
      <w:lvlJc w:val="left"/>
      <w:pPr>
        <w:tabs>
          <w:tab w:val="num" w:pos="3600"/>
        </w:tabs>
        <w:ind w:left="3600" w:hanging="360"/>
      </w:pPr>
      <w:rPr>
        <w:rFonts w:ascii="Times New Roman" w:hAnsi="Times New Roman" w:hint="default"/>
      </w:rPr>
    </w:lvl>
    <w:lvl w:ilvl="5" w:tplc="47620F8C" w:tentative="1">
      <w:start w:val="1"/>
      <w:numFmt w:val="bullet"/>
      <w:lvlText w:val="•"/>
      <w:lvlJc w:val="left"/>
      <w:pPr>
        <w:tabs>
          <w:tab w:val="num" w:pos="4320"/>
        </w:tabs>
        <w:ind w:left="4320" w:hanging="360"/>
      </w:pPr>
      <w:rPr>
        <w:rFonts w:ascii="Times New Roman" w:hAnsi="Times New Roman" w:hint="default"/>
      </w:rPr>
    </w:lvl>
    <w:lvl w:ilvl="6" w:tplc="BD90CFC2" w:tentative="1">
      <w:start w:val="1"/>
      <w:numFmt w:val="bullet"/>
      <w:lvlText w:val="•"/>
      <w:lvlJc w:val="left"/>
      <w:pPr>
        <w:tabs>
          <w:tab w:val="num" w:pos="5040"/>
        </w:tabs>
        <w:ind w:left="5040" w:hanging="360"/>
      </w:pPr>
      <w:rPr>
        <w:rFonts w:ascii="Times New Roman" w:hAnsi="Times New Roman" w:hint="default"/>
      </w:rPr>
    </w:lvl>
    <w:lvl w:ilvl="7" w:tplc="BAC6E176" w:tentative="1">
      <w:start w:val="1"/>
      <w:numFmt w:val="bullet"/>
      <w:lvlText w:val="•"/>
      <w:lvlJc w:val="left"/>
      <w:pPr>
        <w:tabs>
          <w:tab w:val="num" w:pos="5760"/>
        </w:tabs>
        <w:ind w:left="5760" w:hanging="360"/>
      </w:pPr>
      <w:rPr>
        <w:rFonts w:ascii="Times New Roman" w:hAnsi="Times New Roman" w:hint="default"/>
      </w:rPr>
    </w:lvl>
    <w:lvl w:ilvl="8" w:tplc="24623FB8" w:tentative="1">
      <w:start w:val="1"/>
      <w:numFmt w:val="bullet"/>
      <w:lvlText w:val="•"/>
      <w:lvlJc w:val="left"/>
      <w:pPr>
        <w:tabs>
          <w:tab w:val="num" w:pos="6480"/>
        </w:tabs>
        <w:ind w:left="6480" w:hanging="360"/>
      </w:pPr>
      <w:rPr>
        <w:rFonts w:ascii="Times New Roman" w:hAnsi="Times New Roman" w:hint="default"/>
      </w:rPr>
    </w:lvl>
  </w:abstractNum>
  <w:abstractNum w:abstractNumId="1">
    <w:nsid w:val="353E3FF6"/>
    <w:multiLevelType w:val="hybridMultilevel"/>
    <w:tmpl w:val="AA60BA76"/>
    <w:lvl w:ilvl="0" w:tplc="FA3A095E">
      <w:start w:val="1"/>
      <w:numFmt w:val="decimal"/>
      <w:lvlText w:val="%1."/>
      <w:lvlJc w:val="left"/>
      <w:pPr>
        <w:ind w:left="720" w:hanging="360"/>
      </w:pPr>
      <w:rPr>
        <w:rFonts w:ascii="Times New Roman" w:eastAsiaTheme="minorHAnsi" w:hAnsi="Times New Roman" w:cs="Times New Roman"/>
        <w:b/>
        <w:i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E9A4F41"/>
    <w:multiLevelType w:val="hybridMultilevel"/>
    <w:tmpl w:val="7B98F67A"/>
    <w:lvl w:ilvl="0" w:tplc="68C0FB6C">
      <w:start w:val="1"/>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6EB2B51"/>
    <w:multiLevelType w:val="hybridMultilevel"/>
    <w:tmpl w:val="046A9E72"/>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7773789"/>
    <w:multiLevelType w:val="multilevel"/>
    <w:tmpl w:val="C4568A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6865CA6"/>
    <w:multiLevelType w:val="singleLevel"/>
    <w:tmpl w:val="0450D2D6"/>
    <w:lvl w:ilvl="0">
      <w:numFmt w:val="bullet"/>
      <w:lvlText w:val="-"/>
      <w:lvlJc w:val="left"/>
      <w:pPr>
        <w:tabs>
          <w:tab w:val="num" w:pos="360"/>
        </w:tabs>
        <w:ind w:left="360" w:hanging="360"/>
      </w:pPr>
      <w:rPr>
        <w:rFonts w:hint="default"/>
      </w:rPr>
    </w:lvl>
  </w:abstractNum>
  <w:abstractNum w:abstractNumId="6">
    <w:nsid w:val="688803BD"/>
    <w:multiLevelType w:val="hybridMultilevel"/>
    <w:tmpl w:val="0E007348"/>
    <w:lvl w:ilvl="0" w:tplc="865CE76E">
      <w:start w:val="1"/>
      <w:numFmt w:val="bullet"/>
      <w:lvlText w:val=""/>
      <w:lvlPicBulletId w:val="0"/>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B765EF9"/>
    <w:multiLevelType w:val="hybridMultilevel"/>
    <w:tmpl w:val="6DE8E348"/>
    <w:lvl w:ilvl="0" w:tplc="EF02C25E">
      <w:start w:val="1"/>
      <w:numFmt w:val="upperRoman"/>
      <w:lvlText w:val="%1."/>
      <w:lvlJc w:val="left"/>
      <w:pPr>
        <w:ind w:left="720" w:hanging="360"/>
      </w:pPr>
      <w:rPr>
        <w:rFonts w:ascii="Times New Roman" w:eastAsiaTheme="minorHAnsi" w:hAnsi="Times New Roman" w:cs="Times New Roman"/>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6F5595F"/>
    <w:multiLevelType w:val="hybridMultilevel"/>
    <w:tmpl w:val="A25E7206"/>
    <w:lvl w:ilvl="0" w:tplc="665C69BC">
      <w:start w:val="1"/>
      <w:numFmt w:val="bullet"/>
      <w:lvlText w:val=""/>
      <w:lvlPicBulletId w:val="2"/>
      <w:lvlJc w:val="left"/>
      <w:pPr>
        <w:ind w:left="1440" w:hanging="360"/>
      </w:pPr>
      <w:rPr>
        <w:rFonts w:ascii="Symbol" w:hAnsi="Symbol"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5"/>
  </w:num>
  <w:num w:numId="6">
    <w:abstractNumId w:val="2"/>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81"/>
    <w:rsid w:val="00005B31"/>
    <w:rsid w:val="00007FC1"/>
    <w:rsid w:val="00026124"/>
    <w:rsid w:val="000559D5"/>
    <w:rsid w:val="00070670"/>
    <w:rsid w:val="0007732F"/>
    <w:rsid w:val="00081EF1"/>
    <w:rsid w:val="000B0EA6"/>
    <w:rsid w:val="000B7E2C"/>
    <w:rsid w:val="000D25E0"/>
    <w:rsid w:val="000D5DFB"/>
    <w:rsid w:val="000E18E4"/>
    <w:rsid w:val="000E1A24"/>
    <w:rsid w:val="000F185B"/>
    <w:rsid w:val="001009E2"/>
    <w:rsid w:val="00107D64"/>
    <w:rsid w:val="00110AEB"/>
    <w:rsid w:val="0011475C"/>
    <w:rsid w:val="00133CD7"/>
    <w:rsid w:val="001375C0"/>
    <w:rsid w:val="00137773"/>
    <w:rsid w:val="0014142A"/>
    <w:rsid w:val="00142897"/>
    <w:rsid w:val="0014319B"/>
    <w:rsid w:val="00145584"/>
    <w:rsid w:val="001457D1"/>
    <w:rsid w:val="00145EA8"/>
    <w:rsid w:val="00156BAA"/>
    <w:rsid w:val="00166937"/>
    <w:rsid w:val="0017302A"/>
    <w:rsid w:val="00176681"/>
    <w:rsid w:val="00186176"/>
    <w:rsid w:val="00191A89"/>
    <w:rsid w:val="001A033D"/>
    <w:rsid w:val="001B28C5"/>
    <w:rsid w:val="001D1B7F"/>
    <w:rsid w:val="001D4099"/>
    <w:rsid w:val="001D7420"/>
    <w:rsid w:val="001F405E"/>
    <w:rsid w:val="001F5E87"/>
    <w:rsid w:val="001F7AA5"/>
    <w:rsid w:val="00215345"/>
    <w:rsid w:val="00222575"/>
    <w:rsid w:val="00240933"/>
    <w:rsid w:val="00243D47"/>
    <w:rsid w:val="00246F81"/>
    <w:rsid w:val="0027535A"/>
    <w:rsid w:val="002767F1"/>
    <w:rsid w:val="00282C65"/>
    <w:rsid w:val="00293CAF"/>
    <w:rsid w:val="0029688C"/>
    <w:rsid w:val="00296FBD"/>
    <w:rsid w:val="002A2FFE"/>
    <w:rsid w:val="002B0551"/>
    <w:rsid w:val="002B7C9C"/>
    <w:rsid w:val="002D16AD"/>
    <w:rsid w:val="002D3808"/>
    <w:rsid w:val="002D4920"/>
    <w:rsid w:val="002F5382"/>
    <w:rsid w:val="002F5412"/>
    <w:rsid w:val="002F5B80"/>
    <w:rsid w:val="002F6A1E"/>
    <w:rsid w:val="00304AD2"/>
    <w:rsid w:val="00306E75"/>
    <w:rsid w:val="00313990"/>
    <w:rsid w:val="00314875"/>
    <w:rsid w:val="00322D47"/>
    <w:rsid w:val="00325351"/>
    <w:rsid w:val="00352884"/>
    <w:rsid w:val="0038655A"/>
    <w:rsid w:val="00392D55"/>
    <w:rsid w:val="00396926"/>
    <w:rsid w:val="003A13D5"/>
    <w:rsid w:val="003A2692"/>
    <w:rsid w:val="003A5A14"/>
    <w:rsid w:val="003C52E5"/>
    <w:rsid w:val="003E6267"/>
    <w:rsid w:val="003E768C"/>
    <w:rsid w:val="003F7185"/>
    <w:rsid w:val="00412580"/>
    <w:rsid w:val="00451066"/>
    <w:rsid w:val="00455DF8"/>
    <w:rsid w:val="00461FA4"/>
    <w:rsid w:val="00466851"/>
    <w:rsid w:val="00475995"/>
    <w:rsid w:val="0047645F"/>
    <w:rsid w:val="00480F07"/>
    <w:rsid w:val="00483AE2"/>
    <w:rsid w:val="00487E2F"/>
    <w:rsid w:val="00497CA2"/>
    <w:rsid w:val="004B0641"/>
    <w:rsid w:val="00503B6A"/>
    <w:rsid w:val="00514477"/>
    <w:rsid w:val="00516789"/>
    <w:rsid w:val="00517270"/>
    <w:rsid w:val="00530628"/>
    <w:rsid w:val="00533042"/>
    <w:rsid w:val="00535C60"/>
    <w:rsid w:val="00547708"/>
    <w:rsid w:val="005516FD"/>
    <w:rsid w:val="00551DB0"/>
    <w:rsid w:val="0055224B"/>
    <w:rsid w:val="005625DC"/>
    <w:rsid w:val="00593880"/>
    <w:rsid w:val="005C4DF1"/>
    <w:rsid w:val="005C6E2C"/>
    <w:rsid w:val="005E5C2E"/>
    <w:rsid w:val="00602EFC"/>
    <w:rsid w:val="00611CFE"/>
    <w:rsid w:val="00620ABA"/>
    <w:rsid w:val="00633554"/>
    <w:rsid w:val="0063568F"/>
    <w:rsid w:val="00653B2F"/>
    <w:rsid w:val="006614FF"/>
    <w:rsid w:val="006721A0"/>
    <w:rsid w:val="00680644"/>
    <w:rsid w:val="00685504"/>
    <w:rsid w:val="00695BE3"/>
    <w:rsid w:val="006C207E"/>
    <w:rsid w:val="006D3B0C"/>
    <w:rsid w:val="006D7307"/>
    <w:rsid w:val="007027FD"/>
    <w:rsid w:val="00703E1C"/>
    <w:rsid w:val="00711A46"/>
    <w:rsid w:val="0071792D"/>
    <w:rsid w:val="007213FE"/>
    <w:rsid w:val="0072274D"/>
    <w:rsid w:val="00726240"/>
    <w:rsid w:val="00747DC3"/>
    <w:rsid w:val="00755EF5"/>
    <w:rsid w:val="00761533"/>
    <w:rsid w:val="0077252B"/>
    <w:rsid w:val="00772CA9"/>
    <w:rsid w:val="007865A9"/>
    <w:rsid w:val="00790FFF"/>
    <w:rsid w:val="00796761"/>
    <w:rsid w:val="007C6101"/>
    <w:rsid w:val="007D64E7"/>
    <w:rsid w:val="007D6FE3"/>
    <w:rsid w:val="007D705B"/>
    <w:rsid w:val="008276D2"/>
    <w:rsid w:val="0082774D"/>
    <w:rsid w:val="008459F3"/>
    <w:rsid w:val="00852B8A"/>
    <w:rsid w:val="00863B0A"/>
    <w:rsid w:val="00874FEA"/>
    <w:rsid w:val="008953AA"/>
    <w:rsid w:val="00896D97"/>
    <w:rsid w:val="008A3F75"/>
    <w:rsid w:val="008B11B4"/>
    <w:rsid w:val="008B424B"/>
    <w:rsid w:val="008D399B"/>
    <w:rsid w:val="008D6C98"/>
    <w:rsid w:val="008E701A"/>
    <w:rsid w:val="00905A6C"/>
    <w:rsid w:val="009153C2"/>
    <w:rsid w:val="009205E8"/>
    <w:rsid w:val="009264E2"/>
    <w:rsid w:val="009429B4"/>
    <w:rsid w:val="0095013E"/>
    <w:rsid w:val="0095257E"/>
    <w:rsid w:val="00963F0F"/>
    <w:rsid w:val="00981AD7"/>
    <w:rsid w:val="0098439A"/>
    <w:rsid w:val="00984580"/>
    <w:rsid w:val="009866E6"/>
    <w:rsid w:val="00992F24"/>
    <w:rsid w:val="009D2DC4"/>
    <w:rsid w:val="00A05C92"/>
    <w:rsid w:val="00A06E40"/>
    <w:rsid w:val="00A33EA9"/>
    <w:rsid w:val="00A5154F"/>
    <w:rsid w:val="00A52E94"/>
    <w:rsid w:val="00A53812"/>
    <w:rsid w:val="00A6432D"/>
    <w:rsid w:val="00A6558C"/>
    <w:rsid w:val="00A66C3E"/>
    <w:rsid w:val="00A7460B"/>
    <w:rsid w:val="00A746A5"/>
    <w:rsid w:val="00A76831"/>
    <w:rsid w:val="00A80135"/>
    <w:rsid w:val="00A85600"/>
    <w:rsid w:val="00A912D9"/>
    <w:rsid w:val="00A94A4F"/>
    <w:rsid w:val="00A97194"/>
    <w:rsid w:val="00A9789E"/>
    <w:rsid w:val="00AA4DFB"/>
    <w:rsid w:val="00AB066D"/>
    <w:rsid w:val="00AB1824"/>
    <w:rsid w:val="00AB4B71"/>
    <w:rsid w:val="00AC0982"/>
    <w:rsid w:val="00AC0BF8"/>
    <w:rsid w:val="00AC5055"/>
    <w:rsid w:val="00AC5958"/>
    <w:rsid w:val="00AC6E47"/>
    <w:rsid w:val="00AD0330"/>
    <w:rsid w:val="00AD2A84"/>
    <w:rsid w:val="00AF3C1A"/>
    <w:rsid w:val="00B00AE4"/>
    <w:rsid w:val="00B17DD6"/>
    <w:rsid w:val="00B21C46"/>
    <w:rsid w:val="00B31B2D"/>
    <w:rsid w:val="00B45831"/>
    <w:rsid w:val="00B4734C"/>
    <w:rsid w:val="00B47CE0"/>
    <w:rsid w:val="00B77F87"/>
    <w:rsid w:val="00B805CD"/>
    <w:rsid w:val="00B91D2A"/>
    <w:rsid w:val="00B92B04"/>
    <w:rsid w:val="00BA606C"/>
    <w:rsid w:val="00BB46FA"/>
    <w:rsid w:val="00BD1237"/>
    <w:rsid w:val="00BD2DCD"/>
    <w:rsid w:val="00BF015A"/>
    <w:rsid w:val="00BF44A1"/>
    <w:rsid w:val="00C001BE"/>
    <w:rsid w:val="00C03E44"/>
    <w:rsid w:val="00C0427D"/>
    <w:rsid w:val="00C24509"/>
    <w:rsid w:val="00C25307"/>
    <w:rsid w:val="00C443A3"/>
    <w:rsid w:val="00C4607A"/>
    <w:rsid w:val="00C50EE0"/>
    <w:rsid w:val="00C7481C"/>
    <w:rsid w:val="00C82E3E"/>
    <w:rsid w:val="00C84765"/>
    <w:rsid w:val="00C91B1C"/>
    <w:rsid w:val="00CA2012"/>
    <w:rsid w:val="00CA55A4"/>
    <w:rsid w:val="00CA60B1"/>
    <w:rsid w:val="00CB6399"/>
    <w:rsid w:val="00CB74EF"/>
    <w:rsid w:val="00CC05BE"/>
    <w:rsid w:val="00CC2626"/>
    <w:rsid w:val="00CC3559"/>
    <w:rsid w:val="00CE1E86"/>
    <w:rsid w:val="00CF2AAD"/>
    <w:rsid w:val="00D01B56"/>
    <w:rsid w:val="00D027A0"/>
    <w:rsid w:val="00D06E1A"/>
    <w:rsid w:val="00D1113F"/>
    <w:rsid w:val="00D151AD"/>
    <w:rsid w:val="00D160E6"/>
    <w:rsid w:val="00D21054"/>
    <w:rsid w:val="00D211A1"/>
    <w:rsid w:val="00D34201"/>
    <w:rsid w:val="00D37F7C"/>
    <w:rsid w:val="00D450B3"/>
    <w:rsid w:val="00D4677D"/>
    <w:rsid w:val="00D5025A"/>
    <w:rsid w:val="00D57F96"/>
    <w:rsid w:val="00D818A1"/>
    <w:rsid w:val="00D82557"/>
    <w:rsid w:val="00D85B45"/>
    <w:rsid w:val="00D968BB"/>
    <w:rsid w:val="00DB4D24"/>
    <w:rsid w:val="00DC091D"/>
    <w:rsid w:val="00DD66B3"/>
    <w:rsid w:val="00DE78D7"/>
    <w:rsid w:val="00DF35F4"/>
    <w:rsid w:val="00DF3B91"/>
    <w:rsid w:val="00E054E0"/>
    <w:rsid w:val="00E14C42"/>
    <w:rsid w:val="00E31B62"/>
    <w:rsid w:val="00E3210A"/>
    <w:rsid w:val="00E41D98"/>
    <w:rsid w:val="00E84C21"/>
    <w:rsid w:val="00E8691C"/>
    <w:rsid w:val="00E96A92"/>
    <w:rsid w:val="00EC2E28"/>
    <w:rsid w:val="00EE378F"/>
    <w:rsid w:val="00EE4D8F"/>
    <w:rsid w:val="00F14311"/>
    <w:rsid w:val="00F21AA6"/>
    <w:rsid w:val="00F22F34"/>
    <w:rsid w:val="00F37754"/>
    <w:rsid w:val="00F428D3"/>
    <w:rsid w:val="00F61B12"/>
    <w:rsid w:val="00F634D2"/>
    <w:rsid w:val="00F65739"/>
    <w:rsid w:val="00F8460C"/>
    <w:rsid w:val="00F85F14"/>
    <w:rsid w:val="00F94506"/>
    <w:rsid w:val="00F977F3"/>
    <w:rsid w:val="00FA6815"/>
    <w:rsid w:val="00FA7213"/>
    <w:rsid w:val="00FA79D0"/>
    <w:rsid w:val="00FC10F9"/>
    <w:rsid w:val="00FD1B28"/>
    <w:rsid w:val="00FD4E23"/>
    <w:rsid w:val="00FF02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7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DFB"/>
    <w:pPr>
      <w:ind w:left="720"/>
      <w:contextualSpacing/>
    </w:pPr>
  </w:style>
  <w:style w:type="paragraph" w:styleId="BalloonText">
    <w:name w:val="Balloon Text"/>
    <w:basedOn w:val="Normal"/>
    <w:link w:val="BalloonTextChar"/>
    <w:uiPriority w:val="99"/>
    <w:semiHidden/>
    <w:unhideWhenUsed/>
    <w:rsid w:val="000D2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5E0"/>
    <w:rPr>
      <w:rFonts w:ascii="Tahoma" w:hAnsi="Tahoma" w:cs="Tahoma"/>
      <w:sz w:val="16"/>
      <w:szCs w:val="16"/>
      <w:lang w:val="en-US"/>
    </w:rPr>
  </w:style>
  <w:style w:type="table" w:styleId="TableGrid">
    <w:name w:val="Table Grid"/>
    <w:basedOn w:val="TableNormal"/>
    <w:uiPriority w:val="59"/>
    <w:rsid w:val="00635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3568F"/>
    <w:pPr>
      <w:spacing w:after="120" w:line="240" w:lineRule="auto"/>
    </w:pPr>
    <w:rPr>
      <w:rFonts w:ascii="Times New Roman" w:eastAsia="Times New Roman" w:hAnsi="Times New Roman" w:cs="Times New Roman"/>
      <w:sz w:val="24"/>
      <w:szCs w:val="24"/>
      <w:lang w:val="fr-FR"/>
    </w:rPr>
  </w:style>
  <w:style w:type="character" w:customStyle="1" w:styleId="BodyTextChar">
    <w:name w:val="Body Text Char"/>
    <w:basedOn w:val="DefaultParagraphFont"/>
    <w:link w:val="BodyText"/>
    <w:rsid w:val="0063568F"/>
    <w:rPr>
      <w:rFonts w:ascii="Times New Roman" w:eastAsia="Times New Roman" w:hAnsi="Times New Roman" w:cs="Times New Roman"/>
      <w:sz w:val="24"/>
      <w:szCs w:val="24"/>
      <w:lang w:val="fr-FR"/>
    </w:rPr>
  </w:style>
  <w:style w:type="paragraph" w:styleId="FootnoteText">
    <w:name w:val="footnote text"/>
    <w:basedOn w:val="Normal"/>
    <w:link w:val="FootnoteTextChar"/>
    <w:uiPriority w:val="99"/>
    <w:unhideWhenUsed/>
    <w:rsid w:val="005C6E2C"/>
    <w:pPr>
      <w:spacing w:after="0" w:line="240" w:lineRule="auto"/>
    </w:pPr>
    <w:rPr>
      <w:sz w:val="20"/>
      <w:szCs w:val="20"/>
    </w:rPr>
  </w:style>
  <w:style w:type="character" w:customStyle="1" w:styleId="FootnoteTextChar">
    <w:name w:val="Footnote Text Char"/>
    <w:basedOn w:val="DefaultParagraphFont"/>
    <w:link w:val="FootnoteText"/>
    <w:uiPriority w:val="99"/>
    <w:rsid w:val="005C6E2C"/>
    <w:rPr>
      <w:sz w:val="20"/>
      <w:szCs w:val="20"/>
      <w:lang w:val="en-US"/>
    </w:rPr>
  </w:style>
  <w:style w:type="character" w:styleId="FootnoteReference">
    <w:name w:val="footnote reference"/>
    <w:basedOn w:val="DefaultParagraphFont"/>
    <w:uiPriority w:val="99"/>
    <w:semiHidden/>
    <w:unhideWhenUsed/>
    <w:rsid w:val="005C6E2C"/>
    <w:rPr>
      <w:vertAlign w:val="superscript"/>
    </w:rPr>
  </w:style>
  <w:style w:type="character" w:styleId="Hyperlink">
    <w:name w:val="Hyperlink"/>
    <w:basedOn w:val="DefaultParagraphFont"/>
    <w:uiPriority w:val="99"/>
    <w:unhideWhenUsed/>
    <w:rsid w:val="005C6E2C"/>
    <w:rPr>
      <w:color w:val="0000FF"/>
      <w:u w:val="single"/>
    </w:rPr>
  </w:style>
  <w:style w:type="character" w:styleId="FollowedHyperlink">
    <w:name w:val="FollowedHyperlink"/>
    <w:basedOn w:val="DefaultParagraphFont"/>
    <w:uiPriority w:val="99"/>
    <w:semiHidden/>
    <w:unhideWhenUsed/>
    <w:rsid w:val="00593880"/>
    <w:rPr>
      <w:color w:val="800080"/>
      <w:u w:val="single"/>
    </w:rPr>
  </w:style>
  <w:style w:type="paragraph" w:customStyle="1" w:styleId="xl77">
    <w:name w:val="xl77"/>
    <w:basedOn w:val="Normal"/>
    <w:rsid w:val="0059388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8">
    <w:name w:val="xl78"/>
    <w:basedOn w:val="Normal"/>
    <w:rsid w:val="00593880"/>
    <w:pPr>
      <w:spacing w:before="100" w:beforeAutospacing="1" w:after="100" w:afterAutospacing="1" w:line="240" w:lineRule="auto"/>
      <w:jc w:val="center"/>
      <w:textAlignment w:val="center"/>
    </w:pPr>
    <w:rPr>
      <w:rFonts w:ascii="Times New Roman" w:eastAsia="Times New Roman" w:hAnsi="Times New Roman" w:cs="Times New Roman"/>
      <w:color w:val="538DD5"/>
      <w:sz w:val="24"/>
      <w:szCs w:val="24"/>
      <w:lang w:val="ro-RO" w:eastAsia="ro-RO"/>
    </w:rPr>
  </w:style>
  <w:style w:type="paragraph" w:customStyle="1" w:styleId="xl79">
    <w:name w:val="xl79"/>
    <w:basedOn w:val="Normal"/>
    <w:rsid w:val="00593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0">
    <w:name w:val="xl80"/>
    <w:basedOn w:val="Normal"/>
    <w:rsid w:val="00593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customStyle="1" w:styleId="xl81">
    <w:name w:val="xl81"/>
    <w:basedOn w:val="Normal"/>
    <w:rsid w:val="00593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2">
    <w:name w:val="xl82"/>
    <w:basedOn w:val="Normal"/>
    <w:rsid w:val="00593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E1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E86"/>
    <w:rPr>
      <w:lang w:val="en-US"/>
    </w:rPr>
  </w:style>
  <w:style w:type="paragraph" w:styleId="Footer">
    <w:name w:val="footer"/>
    <w:basedOn w:val="Normal"/>
    <w:link w:val="FooterChar"/>
    <w:uiPriority w:val="99"/>
    <w:unhideWhenUsed/>
    <w:rsid w:val="00CE1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E86"/>
    <w:rPr>
      <w:lang w:val="en-US"/>
    </w:rPr>
  </w:style>
  <w:style w:type="table" w:customStyle="1" w:styleId="Style2">
    <w:name w:val="Style2"/>
    <w:basedOn w:val="TableNormal"/>
    <w:uiPriority w:val="99"/>
    <w:rsid w:val="00243D47"/>
    <w:pPr>
      <w:spacing w:after="0" w:line="240" w:lineRule="auto"/>
      <w:ind w:left="-57" w:right="-57"/>
      <w:jc w:val="center"/>
    </w:pPr>
    <w:rPr>
      <w:rFonts w:ascii="Times New Roman" w:eastAsia="Times New Roman" w:hAnsi="Times New Roman" w:cs="Times New Roman"/>
      <w:sz w:val="20"/>
      <w:szCs w:val="20"/>
      <w:lang w:eastAsia="ro-RO"/>
    </w:rPr>
    <w:tblPr>
      <w:tblStyleRowBandSize w:val="1"/>
      <w:jc w:val="center"/>
      <w:tblInd w:w="0" w:type="dxa"/>
      <w:tblBorders>
        <w:top w:val="single" w:sz="4" w:space="0" w:color="82794A"/>
        <w:left w:val="single" w:sz="4" w:space="0" w:color="82794A"/>
        <w:bottom w:val="single" w:sz="4" w:space="0" w:color="82794A"/>
        <w:right w:val="single" w:sz="4" w:space="0" w:color="82794A"/>
        <w:insideH w:val="single" w:sz="4" w:space="0" w:color="82794A"/>
        <w:insideV w:val="single" w:sz="4" w:space="0" w:color="82794A"/>
      </w:tblBorders>
      <w:tblCellMar>
        <w:top w:w="0" w:type="dxa"/>
        <w:left w:w="108" w:type="dxa"/>
        <w:bottom w:w="0" w:type="dxa"/>
        <w:right w:w="108" w:type="dxa"/>
      </w:tblCellMar>
    </w:tblPr>
    <w:trPr>
      <w:jc w:val="center"/>
    </w:trPr>
    <w:tcPr>
      <w:vAlign w:val="center"/>
    </w:tcPr>
    <w:tblStylePr w:type="firstRow">
      <w:pPr>
        <w:jc w:val="center"/>
      </w:pPr>
      <w:rPr>
        <w:b/>
        <w:caps/>
        <w:smallCaps w:val="0"/>
        <w:color w:val="FFFFFF" w:themeColor="background1"/>
      </w:rPr>
      <w:tblPr/>
      <w:trPr>
        <w:tblHeader/>
      </w:trPr>
      <w:tcPr>
        <w:shd w:val="clear" w:color="auto" w:fill="A79B61"/>
      </w:tcPr>
    </w:tblStylePr>
    <w:tblStylePr w:type="lastRow">
      <w:pPr>
        <w:jc w:val="center"/>
      </w:pPr>
      <w:rPr>
        <w:b/>
        <w:color w:val="FFFFFF" w:themeColor="background1"/>
      </w:rPr>
      <w:tblPr/>
      <w:tcPr>
        <w:shd w:val="clear" w:color="auto" w:fill="A79B61"/>
      </w:tcPr>
    </w:tblStylePr>
    <w:tblStylePr w:type="band2Horz">
      <w:rPr>
        <w:rFonts w:asciiTheme="minorHAnsi" w:hAnsiTheme="minorHAnsi"/>
        <w:sz w:val="16"/>
      </w:rPr>
      <w:tblPr/>
      <w:tcPr>
        <w:shd w:val="clear" w:color="auto" w:fill="EEECE1" w:themeFill="background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78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DFB"/>
    <w:pPr>
      <w:ind w:left="720"/>
      <w:contextualSpacing/>
    </w:pPr>
  </w:style>
  <w:style w:type="paragraph" w:styleId="BalloonText">
    <w:name w:val="Balloon Text"/>
    <w:basedOn w:val="Normal"/>
    <w:link w:val="BalloonTextChar"/>
    <w:uiPriority w:val="99"/>
    <w:semiHidden/>
    <w:unhideWhenUsed/>
    <w:rsid w:val="000D2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5E0"/>
    <w:rPr>
      <w:rFonts w:ascii="Tahoma" w:hAnsi="Tahoma" w:cs="Tahoma"/>
      <w:sz w:val="16"/>
      <w:szCs w:val="16"/>
      <w:lang w:val="en-US"/>
    </w:rPr>
  </w:style>
  <w:style w:type="table" w:styleId="TableGrid">
    <w:name w:val="Table Grid"/>
    <w:basedOn w:val="TableNormal"/>
    <w:uiPriority w:val="59"/>
    <w:rsid w:val="00635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3568F"/>
    <w:pPr>
      <w:spacing w:after="120" w:line="240" w:lineRule="auto"/>
    </w:pPr>
    <w:rPr>
      <w:rFonts w:ascii="Times New Roman" w:eastAsia="Times New Roman" w:hAnsi="Times New Roman" w:cs="Times New Roman"/>
      <w:sz w:val="24"/>
      <w:szCs w:val="24"/>
      <w:lang w:val="fr-FR"/>
    </w:rPr>
  </w:style>
  <w:style w:type="character" w:customStyle="1" w:styleId="BodyTextChar">
    <w:name w:val="Body Text Char"/>
    <w:basedOn w:val="DefaultParagraphFont"/>
    <w:link w:val="BodyText"/>
    <w:rsid w:val="0063568F"/>
    <w:rPr>
      <w:rFonts w:ascii="Times New Roman" w:eastAsia="Times New Roman" w:hAnsi="Times New Roman" w:cs="Times New Roman"/>
      <w:sz w:val="24"/>
      <w:szCs w:val="24"/>
      <w:lang w:val="fr-FR"/>
    </w:rPr>
  </w:style>
  <w:style w:type="paragraph" w:styleId="FootnoteText">
    <w:name w:val="footnote text"/>
    <w:basedOn w:val="Normal"/>
    <w:link w:val="FootnoteTextChar"/>
    <w:uiPriority w:val="99"/>
    <w:unhideWhenUsed/>
    <w:rsid w:val="005C6E2C"/>
    <w:pPr>
      <w:spacing w:after="0" w:line="240" w:lineRule="auto"/>
    </w:pPr>
    <w:rPr>
      <w:sz w:val="20"/>
      <w:szCs w:val="20"/>
    </w:rPr>
  </w:style>
  <w:style w:type="character" w:customStyle="1" w:styleId="FootnoteTextChar">
    <w:name w:val="Footnote Text Char"/>
    <w:basedOn w:val="DefaultParagraphFont"/>
    <w:link w:val="FootnoteText"/>
    <w:uiPriority w:val="99"/>
    <w:rsid w:val="005C6E2C"/>
    <w:rPr>
      <w:sz w:val="20"/>
      <w:szCs w:val="20"/>
      <w:lang w:val="en-US"/>
    </w:rPr>
  </w:style>
  <w:style w:type="character" w:styleId="FootnoteReference">
    <w:name w:val="footnote reference"/>
    <w:basedOn w:val="DefaultParagraphFont"/>
    <w:uiPriority w:val="99"/>
    <w:semiHidden/>
    <w:unhideWhenUsed/>
    <w:rsid w:val="005C6E2C"/>
    <w:rPr>
      <w:vertAlign w:val="superscript"/>
    </w:rPr>
  </w:style>
  <w:style w:type="character" w:styleId="Hyperlink">
    <w:name w:val="Hyperlink"/>
    <w:basedOn w:val="DefaultParagraphFont"/>
    <w:uiPriority w:val="99"/>
    <w:unhideWhenUsed/>
    <w:rsid w:val="005C6E2C"/>
    <w:rPr>
      <w:color w:val="0000FF"/>
      <w:u w:val="single"/>
    </w:rPr>
  </w:style>
  <w:style w:type="character" w:styleId="FollowedHyperlink">
    <w:name w:val="FollowedHyperlink"/>
    <w:basedOn w:val="DefaultParagraphFont"/>
    <w:uiPriority w:val="99"/>
    <w:semiHidden/>
    <w:unhideWhenUsed/>
    <w:rsid w:val="00593880"/>
    <w:rPr>
      <w:color w:val="800080"/>
      <w:u w:val="single"/>
    </w:rPr>
  </w:style>
  <w:style w:type="paragraph" w:customStyle="1" w:styleId="xl77">
    <w:name w:val="xl77"/>
    <w:basedOn w:val="Normal"/>
    <w:rsid w:val="0059388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78">
    <w:name w:val="xl78"/>
    <w:basedOn w:val="Normal"/>
    <w:rsid w:val="00593880"/>
    <w:pPr>
      <w:spacing w:before="100" w:beforeAutospacing="1" w:after="100" w:afterAutospacing="1" w:line="240" w:lineRule="auto"/>
      <w:jc w:val="center"/>
      <w:textAlignment w:val="center"/>
    </w:pPr>
    <w:rPr>
      <w:rFonts w:ascii="Times New Roman" w:eastAsia="Times New Roman" w:hAnsi="Times New Roman" w:cs="Times New Roman"/>
      <w:color w:val="538DD5"/>
      <w:sz w:val="24"/>
      <w:szCs w:val="24"/>
      <w:lang w:val="ro-RO" w:eastAsia="ro-RO"/>
    </w:rPr>
  </w:style>
  <w:style w:type="paragraph" w:customStyle="1" w:styleId="xl79">
    <w:name w:val="xl79"/>
    <w:basedOn w:val="Normal"/>
    <w:rsid w:val="00593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0">
    <w:name w:val="xl80"/>
    <w:basedOn w:val="Normal"/>
    <w:rsid w:val="00593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customStyle="1" w:styleId="xl81">
    <w:name w:val="xl81"/>
    <w:basedOn w:val="Normal"/>
    <w:rsid w:val="00593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xl82">
    <w:name w:val="xl82"/>
    <w:basedOn w:val="Normal"/>
    <w:rsid w:val="00593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E1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E86"/>
    <w:rPr>
      <w:lang w:val="en-US"/>
    </w:rPr>
  </w:style>
  <w:style w:type="paragraph" w:styleId="Footer">
    <w:name w:val="footer"/>
    <w:basedOn w:val="Normal"/>
    <w:link w:val="FooterChar"/>
    <w:uiPriority w:val="99"/>
    <w:unhideWhenUsed/>
    <w:rsid w:val="00CE1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E86"/>
    <w:rPr>
      <w:lang w:val="en-US"/>
    </w:rPr>
  </w:style>
  <w:style w:type="table" w:customStyle="1" w:styleId="Style2">
    <w:name w:val="Style2"/>
    <w:basedOn w:val="TableNormal"/>
    <w:uiPriority w:val="99"/>
    <w:rsid w:val="00243D47"/>
    <w:pPr>
      <w:spacing w:after="0" w:line="240" w:lineRule="auto"/>
      <w:ind w:left="-57" w:right="-57"/>
      <w:jc w:val="center"/>
    </w:pPr>
    <w:rPr>
      <w:rFonts w:ascii="Times New Roman" w:eastAsia="Times New Roman" w:hAnsi="Times New Roman" w:cs="Times New Roman"/>
      <w:sz w:val="20"/>
      <w:szCs w:val="20"/>
      <w:lang w:eastAsia="ro-RO"/>
    </w:rPr>
    <w:tblPr>
      <w:tblStyleRowBandSize w:val="1"/>
      <w:jc w:val="center"/>
      <w:tblInd w:w="0" w:type="dxa"/>
      <w:tblBorders>
        <w:top w:val="single" w:sz="4" w:space="0" w:color="82794A"/>
        <w:left w:val="single" w:sz="4" w:space="0" w:color="82794A"/>
        <w:bottom w:val="single" w:sz="4" w:space="0" w:color="82794A"/>
        <w:right w:val="single" w:sz="4" w:space="0" w:color="82794A"/>
        <w:insideH w:val="single" w:sz="4" w:space="0" w:color="82794A"/>
        <w:insideV w:val="single" w:sz="4" w:space="0" w:color="82794A"/>
      </w:tblBorders>
      <w:tblCellMar>
        <w:top w:w="0" w:type="dxa"/>
        <w:left w:w="108" w:type="dxa"/>
        <w:bottom w:w="0" w:type="dxa"/>
        <w:right w:w="108" w:type="dxa"/>
      </w:tblCellMar>
    </w:tblPr>
    <w:trPr>
      <w:jc w:val="center"/>
    </w:trPr>
    <w:tcPr>
      <w:vAlign w:val="center"/>
    </w:tcPr>
    <w:tblStylePr w:type="firstRow">
      <w:pPr>
        <w:jc w:val="center"/>
      </w:pPr>
      <w:rPr>
        <w:b/>
        <w:caps/>
        <w:smallCaps w:val="0"/>
        <w:color w:val="FFFFFF" w:themeColor="background1"/>
      </w:rPr>
      <w:tblPr/>
      <w:trPr>
        <w:tblHeader/>
      </w:trPr>
      <w:tcPr>
        <w:shd w:val="clear" w:color="auto" w:fill="A79B61"/>
      </w:tcPr>
    </w:tblStylePr>
    <w:tblStylePr w:type="lastRow">
      <w:pPr>
        <w:jc w:val="center"/>
      </w:pPr>
      <w:rPr>
        <w:b/>
        <w:color w:val="FFFFFF" w:themeColor="background1"/>
      </w:rPr>
      <w:tblPr/>
      <w:tcPr>
        <w:shd w:val="clear" w:color="auto" w:fill="A79B61"/>
      </w:tcPr>
    </w:tblStylePr>
    <w:tblStylePr w:type="band2Horz">
      <w:rPr>
        <w:rFonts w:asciiTheme="minorHAnsi" w:hAnsiTheme="minorHAnsi"/>
        <w:sz w:val="16"/>
      </w:rPr>
      <w:tblPr/>
      <w:tcPr>
        <w:shd w:val="clear" w:color="auto" w:fill="EEECE1"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88126">
      <w:bodyDiv w:val="1"/>
      <w:marLeft w:val="0"/>
      <w:marRight w:val="0"/>
      <w:marTop w:val="0"/>
      <w:marBottom w:val="0"/>
      <w:divBdr>
        <w:top w:val="none" w:sz="0" w:space="0" w:color="auto"/>
        <w:left w:val="none" w:sz="0" w:space="0" w:color="auto"/>
        <w:bottom w:val="none" w:sz="0" w:space="0" w:color="auto"/>
        <w:right w:val="none" w:sz="0" w:space="0" w:color="auto"/>
      </w:divBdr>
    </w:div>
    <w:div w:id="296909663">
      <w:bodyDiv w:val="1"/>
      <w:marLeft w:val="0"/>
      <w:marRight w:val="0"/>
      <w:marTop w:val="0"/>
      <w:marBottom w:val="0"/>
      <w:divBdr>
        <w:top w:val="none" w:sz="0" w:space="0" w:color="auto"/>
        <w:left w:val="none" w:sz="0" w:space="0" w:color="auto"/>
        <w:bottom w:val="none" w:sz="0" w:space="0" w:color="auto"/>
        <w:right w:val="none" w:sz="0" w:space="0" w:color="auto"/>
      </w:divBdr>
    </w:div>
    <w:div w:id="706216736">
      <w:bodyDiv w:val="1"/>
      <w:marLeft w:val="0"/>
      <w:marRight w:val="0"/>
      <w:marTop w:val="0"/>
      <w:marBottom w:val="0"/>
      <w:divBdr>
        <w:top w:val="none" w:sz="0" w:space="0" w:color="auto"/>
        <w:left w:val="none" w:sz="0" w:space="0" w:color="auto"/>
        <w:bottom w:val="none" w:sz="0" w:space="0" w:color="auto"/>
        <w:right w:val="none" w:sz="0" w:space="0" w:color="auto"/>
      </w:divBdr>
    </w:div>
    <w:div w:id="728650433">
      <w:bodyDiv w:val="1"/>
      <w:marLeft w:val="0"/>
      <w:marRight w:val="0"/>
      <w:marTop w:val="0"/>
      <w:marBottom w:val="0"/>
      <w:divBdr>
        <w:top w:val="none" w:sz="0" w:space="0" w:color="auto"/>
        <w:left w:val="none" w:sz="0" w:space="0" w:color="auto"/>
        <w:bottom w:val="none" w:sz="0" w:space="0" w:color="auto"/>
        <w:right w:val="none" w:sz="0" w:space="0" w:color="auto"/>
      </w:divBdr>
    </w:div>
    <w:div w:id="926116155">
      <w:bodyDiv w:val="1"/>
      <w:marLeft w:val="0"/>
      <w:marRight w:val="0"/>
      <w:marTop w:val="0"/>
      <w:marBottom w:val="0"/>
      <w:divBdr>
        <w:top w:val="none" w:sz="0" w:space="0" w:color="auto"/>
        <w:left w:val="none" w:sz="0" w:space="0" w:color="auto"/>
        <w:bottom w:val="none" w:sz="0" w:space="0" w:color="auto"/>
        <w:right w:val="none" w:sz="0" w:space="0" w:color="auto"/>
      </w:divBdr>
    </w:div>
    <w:div w:id="967857415">
      <w:bodyDiv w:val="1"/>
      <w:marLeft w:val="0"/>
      <w:marRight w:val="0"/>
      <w:marTop w:val="0"/>
      <w:marBottom w:val="0"/>
      <w:divBdr>
        <w:top w:val="none" w:sz="0" w:space="0" w:color="auto"/>
        <w:left w:val="none" w:sz="0" w:space="0" w:color="auto"/>
        <w:bottom w:val="none" w:sz="0" w:space="0" w:color="auto"/>
        <w:right w:val="none" w:sz="0" w:space="0" w:color="auto"/>
      </w:divBdr>
    </w:div>
    <w:div w:id="1063989388">
      <w:bodyDiv w:val="1"/>
      <w:marLeft w:val="0"/>
      <w:marRight w:val="0"/>
      <w:marTop w:val="0"/>
      <w:marBottom w:val="0"/>
      <w:divBdr>
        <w:top w:val="none" w:sz="0" w:space="0" w:color="auto"/>
        <w:left w:val="none" w:sz="0" w:space="0" w:color="auto"/>
        <w:bottom w:val="none" w:sz="0" w:space="0" w:color="auto"/>
        <w:right w:val="none" w:sz="0" w:space="0" w:color="auto"/>
      </w:divBdr>
      <w:divsChild>
        <w:div w:id="98567407">
          <w:marLeft w:val="547"/>
          <w:marRight w:val="0"/>
          <w:marTop w:val="0"/>
          <w:marBottom w:val="0"/>
          <w:divBdr>
            <w:top w:val="none" w:sz="0" w:space="0" w:color="auto"/>
            <w:left w:val="none" w:sz="0" w:space="0" w:color="auto"/>
            <w:bottom w:val="none" w:sz="0" w:space="0" w:color="auto"/>
            <w:right w:val="none" w:sz="0" w:space="0" w:color="auto"/>
          </w:divBdr>
        </w:div>
      </w:divsChild>
    </w:div>
    <w:div w:id="1073552598">
      <w:bodyDiv w:val="1"/>
      <w:marLeft w:val="0"/>
      <w:marRight w:val="0"/>
      <w:marTop w:val="0"/>
      <w:marBottom w:val="0"/>
      <w:divBdr>
        <w:top w:val="none" w:sz="0" w:space="0" w:color="auto"/>
        <w:left w:val="none" w:sz="0" w:space="0" w:color="auto"/>
        <w:bottom w:val="none" w:sz="0" w:space="0" w:color="auto"/>
        <w:right w:val="none" w:sz="0" w:space="0" w:color="auto"/>
      </w:divBdr>
    </w:div>
    <w:div w:id="1149861122">
      <w:bodyDiv w:val="1"/>
      <w:marLeft w:val="0"/>
      <w:marRight w:val="0"/>
      <w:marTop w:val="0"/>
      <w:marBottom w:val="0"/>
      <w:divBdr>
        <w:top w:val="none" w:sz="0" w:space="0" w:color="auto"/>
        <w:left w:val="none" w:sz="0" w:space="0" w:color="auto"/>
        <w:bottom w:val="none" w:sz="0" w:space="0" w:color="auto"/>
        <w:right w:val="none" w:sz="0" w:space="0" w:color="auto"/>
      </w:divBdr>
    </w:div>
    <w:div w:id="1172991573">
      <w:bodyDiv w:val="1"/>
      <w:marLeft w:val="0"/>
      <w:marRight w:val="0"/>
      <w:marTop w:val="0"/>
      <w:marBottom w:val="0"/>
      <w:divBdr>
        <w:top w:val="none" w:sz="0" w:space="0" w:color="auto"/>
        <w:left w:val="none" w:sz="0" w:space="0" w:color="auto"/>
        <w:bottom w:val="none" w:sz="0" w:space="0" w:color="auto"/>
        <w:right w:val="none" w:sz="0" w:space="0" w:color="auto"/>
      </w:divBdr>
    </w:div>
    <w:div w:id="1189415619">
      <w:bodyDiv w:val="1"/>
      <w:marLeft w:val="0"/>
      <w:marRight w:val="0"/>
      <w:marTop w:val="0"/>
      <w:marBottom w:val="0"/>
      <w:divBdr>
        <w:top w:val="none" w:sz="0" w:space="0" w:color="auto"/>
        <w:left w:val="none" w:sz="0" w:space="0" w:color="auto"/>
        <w:bottom w:val="none" w:sz="0" w:space="0" w:color="auto"/>
        <w:right w:val="none" w:sz="0" w:space="0" w:color="auto"/>
      </w:divBdr>
    </w:div>
    <w:div w:id="1247113494">
      <w:bodyDiv w:val="1"/>
      <w:marLeft w:val="0"/>
      <w:marRight w:val="0"/>
      <w:marTop w:val="0"/>
      <w:marBottom w:val="0"/>
      <w:divBdr>
        <w:top w:val="none" w:sz="0" w:space="0" w:color="auto"/>
        <w:left w:val="none" w:sz="0" w:space="0" w:color="auto"/>
        <w:bottom w:val="none" w:sz="0" w:space="0" w:color="auto"/>
        <w:right w:val="none" w:sz="0" w:space="0" w:color="auto"/>
      </w:divBdr>
    </w:div>
    <w:div w:id="1769033749">
      <w:bodyDiv w:val="1"/>
      <w:marLeft w:val="0"/>
      <w:marRight w:val="0"/>
      <w:marTop w:val="0"/>
      <w:marBottom w:val="0"/>
      <w:divBdr>
        <w:top w:val="none" w:sz="0" w:space="0" w:color="auto"/>
        <w:left w:val="none" w:sz="0" w:space="0" w:color="auto"/>
        <w:bottom w:val="none" w:sz="0" w:space="0" w:color="auto"/>
        <w:right w:val="none" w:sz="0" w:space="0" w:color="auto"/>
      </w:divBdr>
    </w:div>
    <w:div w:id="1879508302">
      <w:bodyDiv w:val="1"/>
      <w:marLeft w:val="0"/>
      <w:marRight w:val="0"/>
      <w:marTop w:val="0"/>
      <w:marBottom w:val="0"/>
      <w:divBdr>
        <w:top w:val="none" w:sz="0" w:space="0" w:color="auto"/>
        <w:left w:val="none" w:sz="0" w:space="0" w:color="auto"/>
        <w:bottom w:val="none" w:sz="0" w:space="0" w:color="auto"/>
        <w:right w:val="none" w:sz="0" w:space="0" w:color="auto"/>
      </w:divBdr>
    </w:div>
    <w:div w:id="2054957083">
      <w:bodyDiv w:val="1"/>
      <w:marLeft w:val="0"/>
      <w:marRight w:val="0"/>
      <w:marTop w:val="0"/>
      <w:marBottom w:val="0"/>
      <w:divBdr>
        <w:top w:val="none" w:sz="0" w:space="0" w:color="auto"/>
        <w:left w:val="none" w:sz="0" w:space="0" w:color="auto"/>
        <w:bottom w:val="none" w:sz="0" w:space="0" w:color="auto"/>
        <w:right w:val="none" w:sz="0" w:space="0" w:color="auto"/>
      </w:divBdr>
    </w:div>
    <w:div w:id="213755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dexonline.ro/definitie/risc" TargetMode="External"/><Relationship Id="rId3" Type="http://schemas.openxmlformats.org/officeDocument/2006/relationships/styles" Target="styles.xml"/><Relationship Id="rId21" Type="http://schemas.openxmlformats.org/officeDocument/2006/relationships/hyperlink" Target="https://www.eba.europa.eu/documents/10180/2175405/EBA+Dashboard+-+Q4+2017.pdf"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oeconomica.uab.ro/upload/lucrari/820063/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http://www.oeconomica.uab.ro/upload/lucrari/820063/8.pdf"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4.wmf"/><Relationship Id="rId22" Type="http://schemas.openxmlformats.org/officeDocument/2006/relationships/hyperlink" Target="http://www.oeconomica.uab.ro/upload/lucrari/820063/8.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0D65B0-A606-4ADF-B763-9DBEDA75685D}" type="doc">
      <dgm:prSet loTypeId="urn:microsoft.com/office/officeart/2005/8/layout/hierarchy1" loCatId="hierarchy" qsTypeId="urn:microsoft.com/office/officeart/2005/8/quickstyle/simple2" qsCatId="simple" csTypeId="urn:microsoft.com/office/officeart/2005/8/colors/accent0_1" csCatId="mainScheme" phldr="1"/>
      <dgm:spPr/>
      <dgm:t>
        <a:bodyPr/>
        <a:lstStyle/>
        <a:p>
          <a:endParaRPr lang="ro-RO"/>
        </a:p>
      </dgm:t>
    </dgm:pt>
    <dgm:pt modelId="{503A672F-41D1-4594-99A3-B2DE76638EFB}">
      <dgm:prSet phldrT="[Text]"/>
      <dgm:spPr/>
      <dgm:t>
        <a:bodyPr/>
        <a:lstStyle/>
        <a:p>
          <a:pPr algn="ctr"/>
          <a:r>
            <a:rPr lang="ro-RO" b="1">
              <a:latin typeface="Times New Roman" pitchFamily="18" charset="0"/>
              <a:cs typeface="Times New Roman" pitchFamily="18" charset="0"/>
            </a:rPr>
            <a:t>Componentele riscului bancar:</a:t>
          </a:r>
        </a:p>
      </dgm:t>
    </dgm:pt>
    <dgm:pt modelId="{0FACAD12-44E2-4AE8-A9F6-08590FE426FC}" type="parTrans" cxnId="{517B9FA2-F7FF-4759-80BA-0ECBA9E19ED6}">
      <dgm:prSet/>
      <dgm:spPr/>
      <dgm:t>
        <a:bodyPr/>
        <a:lstStyle/>
        <a:p>
          <a:pPr algn="ctr"/>
          <a:endParaRPr lang="ro-RO">
            <a:latin typeface="Times New Roman" pitchFamily="18" charset="0"/>
            <a:cs typeface="Times New Roman" pitchFamily="18" charset="0"/>
          </a:endParaRPr>
        </a:p>
      </dgm:t>
    </dgm:pt>
    <dgm:pt modelId="{549662BB-2D70-408C-9ADD-F0B20DB1FED7}" type="sibTrans" cxnId="{517B9FA2-F7FF-4759-80BA-0ECBA9E19ED6}">
      <dgm:prSet/>
      <dgm:spPr/>
      <dgm:t>
        <a:bodyPr/>
        <a:lstStyle/>
        <a:p>
          <a:pPr algn="ctr"/>
          <a:endParaRPr lang="ro-RO">
            <a:latin typeface="Times New Roman" pitchFamily="18" charset="0"/>
            <a:cs typeface="Times New Roman" pitchFamily="18" charset="0"/>
          </a:endParaRPr>
        </a:p>
      </dgm:t>
    </dgm:pt>
    <dgm:pt modelId="{DBBEDD39-0D3D-4B21-94E0-016DCFC85942}">
      <dgm:prSet phldrT="[Text]"/>
      <dgm:spPr/>
      <dgm:t>
        <a:bodyPr/>
        <a:lstStyle/>
        <a:p>
          <a:pPr algn="ctr"/>
          <a:r>
            <a:rPr lang="ro-RO" i="1">
              <a:latin typeface="Times New Roman" pitchFamily="18" charset="0"/>
              <a:cs typeface="Times New Roman" pitchFamily="18" charset="0"/>
            </a:rPr>
            <a:t>I</a:t>
          </a:r>
          <a:r>
            <a:rPr lang="pt-PT" i="1">
              <a:latin typeface="Times New Roman" pitchFamily="18" charset="0"/>
              <a:cs typeface="Times New Roman" pitchFamily="18" charset="0"/>
            </a:rPr>
            <a:t>ncertitudinea </a:t>
          </a:r>
          <a:r>
            <a:rPr lang="pt-PT">
              <a:latin typeface="Times New Roman" pitchFamily="18" charset="0"/>
              <a:cs typeface="Times New Roman" pitchFamily="18" charset="0"/>
            </a:rPr>
            <a:t>privind producerea unui eveniment în viitor</a:t>
          </a:r>
          <a:endParaRPr lang="ro-RO">
            <a:latin typeface="Times New Roman" pitchFamily="18" charset="0"/>
            <a:cs typeface="Times New Roman" pitchFamily="18" charset="0"/>
          </a:endParaRPr>
        </a:p>
      </dgm:t>
    </dgm:pt>
    <dgm:pt modelId="{0B0D3069-FE4D-4BDE-AB1B-F47AACBE55E1}" type="parTrans" cxnId="{FB3921FC-24CF-44EF-ADB3-7F719C096668}">
      <dgm:prSet/>
      <dgm:spPr/>
      <dgm:t>
        <a:bodyPr/>
        <a:lstStyle/>
        <a:p>
          <a:pPr algn="ctr"/>
          <a:endParaRPr lang="ro-RO">
            <a:latin typeface="Times New Roman" pitchFamily="18" charset="0"/>
            <a:cs typeface="Times New Roman" pitchFamily="18" charset="0"/>
          </a:endParaRPr>
        </a:p>
      </dgm:t>
    </dgm:pt>
    <dgm:pt modelId="{E44924B7-070E-4C88-B9FD-BA467A13FF04}" type="sibTrans" cxnId="{FB3921FC-24CF-44EF-ADB3-7F719C096668}">
      <dgm:prSet/>
      <dgm:spPr/>
      <dgm:t>
        <a:bodyPr/>
        <a:lstStyle/>
        <a:p>
          <a:pPr algn="ctr"/>
          <a:endParaRPr lang="ro-RO">
            <a:latin typeface="Times New Roman" pitchFamily="18" charset="0"/>
            <a:cs typeface="Times New Roman" pitchFamily="18" charset="0"/>
          </a:endParaRPr>
        </a:p>
      </dgm:t>
    </dgm:pt>
    <dgm:pt modelId="{443A0BF1-0796-4D9F-B3CF-B18A8C6261B9}">
      <dgm:prSet phldrT="[Text]"/>
      <dgm:spPr/>
      <dgm:t>
        <a:bodyPr/>
        <a:lstStyle/>
        <a:p>
          <a:pPr algn="ctr"/>
          <a:r>
            <a:rPr lang="ro-RO" i="1">
              <a:latin typeface="Times New Roman" pitchFamily="18" charset="0"/>
              <a:cs typeface="Times New Roman" pitchFamily="18" charset="0"/>
            </a:rPr>
            <a:t>E</a:t>
          </a:r>
          <a:r>
            <a:rPr lang="pt-PT" i="1">
              <a:latin typeface="Times New Roman" pitchFamily="18" charset="0"/>
              <a:cs typeface="Times New Roman" pitchFamily="18" charset="0"/>
            </a:rPr>
            <a:t>xpunerea </a:t>
          </a:r>
          <a:r>
            <a:rPr lang="pt-PT">
              <a:latin typeface="Times New Roman" pitchFamily="18" charset="0"/>
              <a:cs typeface="Times New Roman" pitchFamily="18" charset="0"/>
            </a:rPr>
            <a:t>la pierdere</a:t>
          </a:r>
          <a:endParaRPr lang="ro-RO">
            <a:latin typeface="Times New Roman" pitchFamily="18" charset="0"/>
            <a:cs typeface="Times New Roman" pitchFamily="18" charset="0"/>
          </a:endParaRPr>
        </a:p>
      </dgm:t>
    </dgm:pt>
    <dgm:pt modelId="{BCB5C6BE-159D-43C9-8C18-91B30668A1E8}" type="parTrans" cxnId="{98006E0E-B188-4038-91D6-C1504E93FBD9}">
      <dgm:prSet/>
      <dgm:spPr/>
      <dgm:t>
        <a:bodyPr/>
        <a:lstStyle/>
        <a:p>
          <a:pPr algn="ctr"/>
          <a:endParaRPr lang="ro-RO">
            <a:latin typeface="Times New Roman" pitchFamily="18" charset="0"/>
            <a:cs typeface="Times New Roman" pitchFamily="18" charset="0"/>
          </a:endParaRPr>
        </a:p>
      </dgm:t>
    </dgm:pt>
    <dgm:pt modelId="{C89D14FD-3771-45E4-8A5C-2FBA1C06E59A}" type="sibTrans" cxnId="{98006E0E-B188-4038-91D6-C1504E93FBD9}">
      <dgm:prSet/>
      <dgm:spPr/>
      <dgm:t>
        <a:bodyPr/>
        <a:lstStyle/>
        <a:p>
          <a:pPr algn="ctr"/>
          <a:endParaRPr lang="ro-RO">
            <a:latin typeface="Times New Roman" pitchFamily="18" charset="0"/>
            <a:cs typeface="Times New Roman" pitchFamily="18" charset="0"/>
          </a:endParaRPr>
        </a:p>
      </dgm:t>
    </dgm:pt>
    <dgm:pt modelId="{A35AA5E4-C5AE-4867-8EF6-70962158E8D1}" type="pres">
      <dgm:prSet presAssocID="{500D65B0-A606-4ADF-B763-9DBEDA75685D}" presName="hierChild1" presStyleCnt="0">
        <dgm:presLayoutVars>
          <dgm:chPref val="1"/>
          <dgm:dir/>
          <dgm:animOne val="branch"/>
          <dgm:animLvl val="lvl"/>
          <dgm:resizeHandles/>
        </dgm:presLayoutVars>
      </dgm:prSet>
      <dgm:spPr/>
      <dgm:t>
        <a:bodyPr/>
        <a:lstStyle/>
        <a:p>
          <a:endParaRPr lang="ro-RO"/>
        </a:p>
      </dgm:t>
    </dgm:pt>
    <dgm:pt modelId="{26AE0057-A10D-4684-8B03-AEE3AC3D2CCF}" type="pres">
      <dgm:prSet presAssocID="{503A672F-41D1-4594-99A3-B2DE76638EFB}" presName="hierRoot1" presStyleCnt="0"/>
      <dgm:spPr/>
    </dgm:pt>
    <dgm:pt modelId="{7A13A8F0-0ABE-41A7-888C-8AF0AA2C0948}" type="pres">
      <dgm:prSet presAssocID="{503A672F-41D1-4594-99A3-B2DE76638EFB}" presName="composite" presStyleCnt="0"/>
      <dgm:spPr/>
    </dgm:pt>
    <dgm:pt modelId="{912A1DF7-7905-4994-ADE6-AB594115783A}" type="pres">
      <dgm:prSet presAssocID="{503A672F-41D1-4594-99A3-B2DE76638EFB}" presName="background" presStyleLbl="node0" presStyleIdx="0" presStyleCnt="1"/>
      <dgm:spPr/>
    </dgm:pt>
    <dgm:pt modelId="{27697780-C1FB-4793-980F-ACFA4FF187DB}" type="pres">
      <dgm:prSet presAssocID="{503A672F-41D1-4594-99A3-B2DE76638EFB}" presName="text" presStyleLbl="fgAcc0" presStyleIdx="0" presStyleCnt="1" custScaleX="150603">
        <dgm:presLayoutVars>
          <dgm:chPref val="3"/>
        </dgm:presLayoutVars>
      </dgm:prSet>
      <dgm:spPr/>
      <dgm:t>
        <a:bodyPr/>
        <a:lstStyle/>
        <a:p>
          <a:endParaRPr lang="ro-RO"/>
        </a:p>
      </dgm:t>
    </dgm:pt>
    <dgm:pt modelId="{1DD0808F-EE94-4981-8D46-B8D577EA8C7F}" type="pres">
      <dgm:prSet presAssocID="{503A672F-41D1-4594-99A3-B2DE76638EFB}" presName="hierChild2" presStyleCnt="0"/>
      <dgm:spPr/>
    </dgm:pt>
    <dgm:pt modelId="{CCFEC223-E218-4E8A-BF77-0A257842CC30}" type="pres">
      <dgm:prSet presAssocID="{0B0D3069-FE4D-4BDE-AB1B-F47AACBE55E1}" presName="Name10" presStyleLbl="parChTrans1D2" presStyleIdx="0" presStyleCnt="2"/>
      <dgm:spPr/>
      <dgm:t>
        <a:bodyPr/>
        <a:lstStyle/>
        <a:p>
          <a:endParaRPr lang="ro-RO"/>
        </a:p>
      </dgm:t>
    </dgm:pt>
    <dgm:pt modelId="{78338E2E-EF10-4A9E-8FBB-964C6772187F}" type="pres">
      <dgm:prSet presAssocID="{DBBEDD39-0D3D-4B21-94E0-016DCFC85942}" presName="hierRoot2" presStyleCnt="0"/>
      <dgm:spPr/>
    </dgm:pt>
    <dgm:pt modelId="{9ED86ED3-0F70-4F71-BB52-5030FD4B330D}" type="pres">
      <dgm:prSet presAssocID="{DBBEDD39-0D3D-4B21-94E0-016DCFC85942}" presName="composite2" presStyleCnt="0"/>
      <dgm:spPr/>
    </dgm:pt>
    <dgm:pt modelId="{3F530775-7EAD-469A-B9E2-2D2EACFA1362}" type="pres">
      <dgm:prSet presAssocID="{DBBEDD39-0D3D-4B21-94E0-016DCFC85942}" presName="background2" presStyleLbl="node2" presStyleIdx="0" presStyleCnt="2"/>
      <dgm:spPr/>
    </dgm:pt>
    <dgm:pt modelId="{FB8AB326-B457-4B29-B61A-21B15A13EB14}" type="pres">
      <dgm:prSet presAssocID="{DBBEDD39-0D3D-4B21-94E0-016DCFC85942}" presName="text2" presStyleLbl="fgAcc2" presStyleIdx="0" presStyleCnt="2">
        <dgm:presLayoutVars>
          <dgm:chPref val="3"/>
        </dgm:presLayoutVars>
      </dgm:prSet>
      <dgm:spPr/>
      <dgm:t>
        <a:bodyPr/>
        <a:lstStyle/>
        <a:p>
          <a:endParaRPr lang="ro-RO"/>
        </a:p>
      </dgm:t>
    </dgm:pt>
    <dgm:pt modelId="{CD29E9BE-1419-476D-9BBE-B27306A67801}" type="pres">
      <dgm:prSet presAssocID="{DBBEDD39-0D3D-4B21-94E0-016DCFC85942}" presName="hierChild3" presStyleCnt="0"/>
      <dgm:spPr/>
    </dgm:pt>
    <dgm:pt modelId="{169CB716-109F-4AA6-919A-1FF2506BFD8B}" type="pres">
      <dgm:prSet presAssocID="{BCB5C6BE-159D-43C9-8C18-91B30668A1E8}" presName="Name10" presStyleLbl="parChTrans1D2" presStyleIdx="1" presStyleCnt="2"/>
      <dgm:spPr/>
      <dgm:t>
        <a:bodyPr/>
        <a:lstStyle/>
        <a:p>
          <a:endParaRPr lang="ro-RO"/>
        </a:p>
      </dgm:t>
    </dgm:pt>
    <dgm:pt modelId="{056C676D-7C44-443E-8937-C53A793FDA33}" type="pres">
      <dgm:prSet presAssocID="{443A0BF1-0796-4D9F-B3CF-B18A8C6261B9}" presName="hierRoot2" presStyleCnt="0"/>
      <dgm:spPr/>
    </dgm:pt>
    <dgm:pt modelId="{0AC04BAF-E6E0-4092-9759-8731C166DD33}" type="pres">
      <dgm:prSet presAssocID="{443A0BF1-0796-4D9F-B3CF-B18A8C6261B9}" presName="composite2" presStyleCnt="0"/>
      <dgm:spPr/>
    </dgm:pt>
    <dgm:pt modelId="{BE336394-2ED7-4261-BEDE-7F9D90A2BD6E}" type="pres">
      <dgm:prSet presAssocID="{443A0BF1-0796-4D9F-B3CF-B18A8C6261B9}" presName="background2" presStyleLbl="node2" presStyleIdx="1" presStyleCnt="2"/>
      <dgm:spPr/>
    </dgm:pt>
    <dgm:pt modelId="{6542ACF6-56FA-42E3-9B36-343B901D6E16}" type="pres">
      <dgm:prSet presAssocID="{443A0BF1-0796-4D9F-B3CF-B18A8C6261B9}" presName="text2" presStyleLbl="fgAcc2" presStyleIdx="1" presStyleCnt="2">
        <dgm:presLayoutVars>
          <dgm:chPref val="3"/>
        </dgm:presLayoutVars>
      </dgm:prSet>
      <dgm:spPr/>
      <dgm:t>
        <a:bodyPr/>
        <a:lstStyle/>
        <a:p>
          <a:endParaRPr lang="ro-RO"/>
        </a:p>
      </dgm:t>
    </dgm:pt>
    <dgm:pt modelId="{0F8E8F66-A5D7-4C80-83E2-548208F8C2DB}" type="pres">
      <dgm:prSet presAssocID="{443A0BF1-0796-4D9F-B3CF-B18A8C6261B9}" presName="hierChild3" presStyleCnt="0"/>
      <dgm:spPr/>
    </dgm:pt>
  </dgm:ptLst>
  <dgm:cxnLst>
    <dgm:cxn modelId="{006D083C-2F0F-4ED5-AEAF-A7D95EADCFF6}" type="presOf" srcId="{BCB5C6BE-159D-43C9-8C18-91B30668A1E8}" destId="{169CB716-109F-4AA6-919A-1FF2506BFD8B}" srcOrd="0" destOrd="0" presId="urn:microsoft.com/office/officeart/2005/8/layout/hierarchy1"/>
    <dgm:cxn modelId="{4EE3877B-AC3F-4640-BFD3-B7DCBDE0DE31}" type="presOf" srcId="{0B0D3069-FE4D-4BDE-AB1B-F47AACBE55E1}" destId="{CCFEC223-E218-4E8A-BF77-0A257842CC30}" srcOrd="0" destOrd="0" presId="urn:microsoft.com/office/officeart/2005/8/layout/hierarchy1"/>
    <dgm:cxn modelId="{A1AB8C2E-28AC-4A62-94F3-AF75DEFD9B9C}" type="presOf" srcId="{503A672F-41D1-4594-99A3-B2DE76638EFB}" destId="{27697780-C1FB-4793-980F-ACFA4FF187DB}" srcOrd="0" destOrd="0" presId="urn:microsoft.com/office/officeart/2005/8/layout/hierarchy1"/>
    <dgm:cxn modelId="{6C9FB388-5547-48A0-9CD8-F1C510FAA8A0}" type="presOf" srcId="{443A0BF1-0796-4D9F-B3CF-B18A8C6261B9}" destId="{6542ACF6-56FA-42E3-9B36-343B901D6E16}" srcOrd="0" destOrd="0" presId="urn:microsoft.com/office/officeart/2005/8/layout/hierarchy1"/>
    <dgm:cxn modelId="{81F7E73E-DF56-4415-A9FA-87D0FB2F2EDD}" type="presOf" srcId="{DBBEDD39-0D3D-4B21-94E0-016DCFC85942}" destId="{FB8AB326-B457-4B29-B61A-21B15A13EB14}" srcOrd="0" destOrd="0" presId="urn:microsoft.com/office/officeart/2005/8/layout/hierarchy1"/>
    <dgm:cxn modelId="{517B9FA2-F7FF-4759-80BA-0ECBA9E19ED6}" srcId="{500D65B0-A606-4ADF-B763-9DBEDA75685D}" destId="{503A672F-41D1-4594-99A3-B2DE76638EFB}" srcOrd="0" destOrd="0" parTransId="{0FACAD12-44E2-4AE8-A9F6-08590FE426FC}" sibTransId="{549662BB-2D70-408C-9ADD-F0B20DB1FED7}"/>
    <dgm:cxn modelId="{D36F9342-6033-4623-9064-BA04060CF3F6}" type="presOf" srcId="{500D65B0-A606-4ADF-B763-9DBEDA75685D}" destId="{A35AA5E4-C5AE-4867-8EF6-70962158E8D1}" srcOrd="0" destOrd="0" presId="urn:microsoft.com/office/officeart/2005/8/layout/hierarchy1"/>
    <dgm:cxn modelId="{FB3921FC-24CF-44EF-ADB3-7F719C096668}" srcId="{503A672F-41D1-4594-99A3-B2DE76638EFB}" destId="{DBBEDD39-0D3D-4B21-94E0-016DCFC85942}" srcOrd="0" destOrd="0" parTransId="{0B0D3069-FE4D-4BDE-AB1B-F47AACBE55E1}" sibTransId="{E44924B7-070E-4C88-B9FD-BA467A13FF04}"/>
    <dgm:cxn modelId="{98006E0E-B188-4038-91D6-C1504E93FBD9}" srcId="{503A672F-41D1-4594-99A3-B2DE76638EFB}" destId="{443A0BF1-0796-4D9F-B3CF-B18A8C6261B9}" srcOrd="1" destOrd="0" parTransId="{BCB5C6BE-159D-43C9-8C18-91B30668A1E8}" sibTransId="{C89D14FD-3771-45E4-8A5C-2FBA1C06E59A}"/>
    <dgm:cxn modelId="{7012E081-A531-45B6-B4AA-68D1B84779F2}" type="presParOf" srcId="{A35AA5E4-C5AE-4867-8EF6-70962158E8D1}" destId="{26AE0057-A10D-4684-8B03-AEE3AC3D2CCF}" srcOrd="0" destOrd="0" presId="urn:microsoft.com/office/officeart/2005/8/layout/hierarchy1"/>
    <dgm:cxn modelId="{5E75D8F0-AFBD-4423-995F-D80430848046}" type="presParOf" srcId="{26AE0057-A10D-4684-8B03-AEE3AC3D2CCF}" destId="{7A13A8F0-0ABE-41A7-888C-8AF0AA2C0948}" srcOrd="0" destOrd="0" presId="urn:microsoft.com/office/officeart/2005/8/layout/hierarchy1"/>
    <dgm:cxn modelId="{5D7E257C-5EB7-456E-B412-C6F9B1349B5F}" type="presParOf" srcId="{7A13A8F0-0ABE-41A7-888C-8AF0AA2C0948}" destId="{912A1DF7-7905-4994-ADE6-AB594115783A}" srcOrd="0" destOrd="0" presId="urn:microsoft.com/office/officeart/2005/8/layout/hierarchy1"/>
    <dgm:cxn modelId="{23C3F5CC-DC0D-4EE7-8746-548603606D62}" type="presParOf" srcId="{7A13A8F0-0ABE-41A7-888C-8AF0AA2C0948}" destId="{27697780-C1FB-4793-980F-ACFA4FF187DB}" srcOrd="1" destOrd="0" presId="urn:microsoft.com/office/officeart/2005/8/layout/hierarchy1"/>
    <dgm:cxn modelId="{B8295D06-BA47-4DC7-B3E4-7AA0B6B4F43B}" type="presParOf" srcId="{26AE0057-A10D-4684-8B03-AEE3AC3D2CCF}" destId="{1DD0808F-EE94-4981-8D46-B8D577EA8C7F}" srcOrd="1" destOrd="0" presId="urn:microsoft.com/office/officeart/2005/8/layout/hierarchy1"/>
    <dgm:cxn modelId="{A0DBE5BC-D0F1-40EA-B317-234E595B92BE}" type="presParOf" srcId="{1DD0808F-EE94-4981-8D46-B8D577EA8C7F}" destId="{CCFEC223-E218-4E8A-BF77-0A257842CC30}" srcOrd="0" destOrd="0" presId="urn:microsoft.com/office/officeart/2005/8/layout/hierarchy1"/>
    <dgm:cxn modelId="{C888E0B7-3501-44EC-A8DB-394A5C46DEA4}" type="presParOf" srcId="{1DD0808F-EE94-4981-8D46-B8D577EA8C7F}" destId="{78338E2E-EF10-4A9E-8FBB-964C6772187F}" srcOrd="1" destOrd="0" presId="urn:microsoft.com/office/officeart/2005/8/layout/hierarchy1"/>
    <dgm:cxn modelId="{8291BCB7-CA73-4854-88EF-D5A54CC4FE58}" type="presParOf" srcId="{78338E2E-EF10-4A9E-8FBB-964C6772187F}" destId="{9ED86ED3-0F70-4F71-BB52-5030FD4B330D}" srcOrd="0" destOrd="0" presId="urn:microsoft.com/office/officeart/2005/8/layout/hierarchy1"/>
    <dgm:cxn modelId="{65033DCE-F4D4-41F9-BC97-537046506ACD}" type="presParOf" srcId="{9ED86ED3-0F70-4F71-BB52-5030FD4B330D}" destId="{3F530775-7EAD-469A-B9E2-2D2EACFA1362}" srcOrd="0" destOrd="0" presId="urn:microsoft.com/office/officeart/2005/8/layout/hierarchy1"/>
    <dgm:cxn modelId="{1F208862-103E-46D9-A20B-E4751443242A}" type="presParOf" srcId="{9ED86ED3-0F70-4F71-BB52-5030FD4B330D}" destId="{FB8AB326-B457-4B29-B61A-21B15A13EB14}" srcOrd="1" destOrd="0" presId="urn:microsoft.com/office/officeart/2005/8/layout/hierarchy1"/>
    <dgm:cxn modelId="{B1CC707E-6A34-4779-BC86-A5B1356EAD06}" type="presParOf" srcId="{78338E2E-EF10-4A9E-8FBB-964C6772187F}" destId="{CD29E9BE-1419-476D-9BBE-B27306A67801}" srcOrd="1" destOrd="0" presId="urn:microsoft.com/office/officeart/2005/8/layout/hierarchy1"/>
    <dgm:cxn modelId="{BA4BA40C-7313-4FD9-96CE-CF408BE79A7A}" type="presParOf" srcId="{1DD0808F-EE94-4981-8D46-B8D577EA8C7F}" destId="{169CB716-109F-4AA6-919A-1FF2506BFD8B}" srcOrd="2" destOrd="0" presId="urn:microsoft.com/office/officeart/2005/8/layout/hierarchy1"/>
    <dgm:cxn modelId="{6A236992-4741-489B-832D-BC2F35B138D7}" type="presParOf" srcId="{1DD0808F-EE94-4981-8D46-B8D577EA8C7F}" destId="{056C676D-7C44-443E-8937-C53A793FDA33}" srcOrd="3" destOrd="0" presId="urn:microsoft.com/office/officeart/2005/8/layout/hierarchy1"/>
    <dgm:cxn modelId="{DD969C50-789C-40E3-93E4-F773CC17C06D}" type="presParOf" srcId="{056C676D-7C44-443E-8937-C53A793FDA33}" destId="{0AC04BAF-E6E0-4092-9759-8731C166DD33}" srcOrd="0" destOrd="0" presId="urn:microsoft.com/office/officeart/2005/8/layout/hierarchy1"/>
    <dgm:cxn modelId="{512E12F0-3712-41D3-87B4-DC621760951E}" type="presParOf" srcId="{0AC04BAF-E6E0-4092-9759-8731C166DD33}" destId="{BE336394-2ED7-4261-BEDE-7F9D90A2BD6E}" srcOrd="0" destOrd="0" presId="urn:microsoft.com/office/officeart/2005/8/layout/hierarchy1"/>
    <dgm:cxn modelId="{E6A99595-D635-463C-8E2F-A1B0160E2A9D}" type="presParOf" srcId="{0AC04BAF-E6E0-4092-9759-8731C166DD33}" destId="{6542ACF6-56FA-42E3-9B36-343B901D6E16}" srcOrd="1" destOrd="0" presId="urn:microsoft.com/office/officeart/2005/8/layout/hierarchy1"/>
    <dgm:cxn modelId="{956DB93D-C188-41BD-B10B-AD81C0DFEBF9}" type="presParOf" srcId="{056C676D-7C44-443E-8937-C53A793FDA33}" destId="{0F8E8F66-A5D7-4C80-83E2-548208F8C2DB}"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9CB716-109F-4AA6-919A-1FF2506BFD8B}">
      <dsp:nvSpPr>
        <dsp:cNvPr id="0" name=""/>
        <dsp:cNvSpPr/>
      </dsp:nvSpPr>
      <dsp:spPr>
        <a:xfrm>
          <a:off x="1550297" y="548655"/>
          <a:ext cx="527066" cy="250835"/>
        </a:xfrm>
        <a:custGeom>
          <a:avLst/>
          <a:gdLst/>
          <a:ahLst/>
          <a:cxnLst/>
          <a:rect l="0" t="0" r="0" b="0"/>
          <a:pathLst>
            <a:path>
              <a:moveTo>
                <a:pt x="0" y="0"/>
              </a:moveTo>
              <a:lnTo>
                <a:pt x="0" y="170937"/>
              </a:lnTo>
              <a:lnTo>
                <a:pt x="527066" y="170937"/>
              </a:lnTo>
              <a:lnTo>
                <a:pt x="527066" y="25083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FEC223-E218-4E8A-BF77-0A257842CC30}">
      <dsp:nvSpPr>
        <dsp:cNvPr id="0" name=""/>
        <dsp:cNvSpPr/>
      </dsp:nvSpPr>
      <dsp:spPr>
        <a:xfrm>
          <a:off x="1023230" y="548655"/>
          <a:ext cx="527066" cy="250835"/>
        </a:xfrm>
        <a:custGeom>
          <a:avLst/>
          <a:gdLst/>
          <a:ahLst/>
          <a:cxnLst/>
          <a:rect l="0" t="0" r="0" b="0"/>
          <a:pathLst>
            <a:path>
              <a:moveTo>
                <a:pt x="527066" y="0"/>
              </a:moveTo>
              <a:lnTo>
                <a:pt x="527066" y="170937"/>
              </a:lnTo>
              <a:lnTo>
                <a:pt x="0" y="170937"/>
              </a:lnTo>
              <a:lnTo>
                <a:pt x="0" y="25083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2A1DF7-7905-4994-ADE6-AB594115783A}">
      <dsp:nvSpPr>
        <dsp:cNvPr id="0" name=""/>
        <dsp:cNvSpPr/>
      </dsp:nvSpPr>
      <dsp:spPr>
        <a:xfrm>
          <a:off x="900842" y="985"/>
          <a:ext cx="1298910" cy="547670"/>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27697780-C1FB-4793-980F-ACFA4FF187DB}">
      <dsp:nvSpPr>
        <dsp:cNvPr id="0" name=""/>
        <dsp:cNvSpPr/>
      </dsp:nvSpPr>
      <dsp:spPr>
        <a:xfrm>
          <a:off x="996672" y="92024"/>
          <a:ext cx="1298910" cy="54767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o-RO" sz="700" b="1" kern="1200">
              <a:latin typeface="Times New Roman" pitchFamily="18" charset="0"/>
              <a:cs typeface="Times New Roman" pitchFamily="18" charset="0"/>
            </a:rPr>
            <a:t>Componentele riscului bancar:</a:t>
          </a:r>
        </a:p>
      </dsp:txBody>
      <dsp:txXfrm>
        <a:off x="1012713" y="108065"/>
        <a:ext cx="1266828" cy="515588"/>
      </dsp:txXfrm>
    </dsp:sp>
    <dsp:sp modelId="{3F530775-7EAD-469A-B9E2-2D2EACFA1362}">
      <dsp:nvSpPr>
        <dsp:cNvPr id="0" name=""/>
        <dsp:cNvSpPr/>
      </dsp:nvSpPr>
      <dsp:spPr>
        <a:xfrm>
          <a:off x="591994" y="799491"/>
          <a:ext cx="862472" cy="547670"/>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FB8AB326-B457-4B29-B61A-21B15A13EB14}">
      <dsp:nvSpPr>
        <dsp:cNvPr id="0" name=""/>
        <dsp:cNvSpPr/>
      </dsp:nvSpPr>
      <dsp:spPr>
        <a:xfrm>
          <a:off x="687824" y="890530"/>
          <a:ext cx="862472" cy="54767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o-RO" sz="700" i="1" kern="1200">
              <a:latin typeface="Times New Roman" pitchFamily="18" charset="0"/>
              <a:cs typeface="Times New Roman" pitchFamily="18" charset="0"/>
            </a:rPr>
            <a:t>I</a:t>
          </a:r>
          <a:r>
            <a:rPr lang="pt-PT" sz="700" i="1" kern="1200">
              <a:latin typeface="Times New Roman" pitchFamily="18" charset="0"/>
              <a:cs typeface="Times New Roman" pitchFamily="18" charset="0"/>
            </a:rPr>
            <a:t>ncertitudinea </a:t>
          </a:r>
          <a:r>
            <a:rPr lang="pt-PT" sz="700" kern="1200">
              <a:latin typeface="Times New Roman" pitchFamily="18" charset="0"/>
              <a:cs typeface="Times New Roman" pitchFamily="18" charset="0"/>
            </a:rPr>
            <a:t>privind producerea unui eveniment în viitor</a:t>
          </a:r>
          <a:endParaRPr lang="ro-RO" sz="700" kern="1200">
            <a:latin typeface="Times New Roman" pitchFamily="18" charset="0"/>
            <a:cs typeface="Times New Roman" pitchFamily="18" charset="0"/>
          </a:endParaRPr>
        </a:p>
      </dsp:txBody>
      <dsp:txXfrm>
        <a:off x="703865" y="906571"/>
        <a:ext cx="830390" cy="515588"/>
      </dsp:txXfrm>
    </dsp:sp>
    <dsp:sp modelId="{BE336394-2ED7-4261-BEDE-7F9D90A2BD6E}">
      <dsp:nvSpPr>
        <dsp:cNvPr id="0" name=""/>
        <dsp:cNvSpPr/>
      </dsp:nvSpPr>
      <dsp:spPr>
        <a:xfrm>
          <a:off x="1646127" y="799491"/>
          <a:ext cx="862472" cy="547670"/>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6542ACF6-56FA-42E3-9B36-343B901D6E16}">
      <dsp:nvSpPr>
        <dsp:cNvPr id="0" name=""/>
        <dsp:cNvSpPr/>
      </dsp:nvSpPr>
      <dsp:spPr>
        <a:xfrm>
          <a:off x="1741957" y="890530"/>
          <a:ext cx="862472" cy="547670"/>
        </a:xfrm>
        <a:prstGeom prst="roundRect">
          <a:avLst>
            <a:gd name="adj" fmla="val 10000"/>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ro-RO" sz="700" i="1" kern="1200">
              <a:latin typeface="Times New Roman" pitchFamily="18" charset="0"/>
              <a:cs typeface="Times New Roman" pitchFamily="18" charset="0"/>
            </a:rPr>
            <a:t>E</a:t>
          </a:r>
          <a:r>
            <a:rPr lang="pt-PT" sz="700" i="1" kern="1200">
              <a:latin typeface="Times New Roman" pitchFamily="18" charset="0"/>
              <a:cs typeface="Times New Roman" pitchFamily="18" charset="0"/>
            </a:rPr>
            <a:t>xpunerea </a:t>
          </a:r>
          <a:r>
            <a:rPr lang="pt-PT" sz="700" kern="1200">
              <a:latin typeface="Times New Roman" pitchFamily="18" charset="0"/>
              <a:cs typeface="Times New Roman" pitchFamily="18" charset="0"/>
            </a:rPr>
            <a:t>la pierdere</a:t>
          </a:r>
          <a:endParaRPr lang="ro-RO" sz="700" kern="1200">
            <a:latin typeface="Times New Roman" pitchFamily="18" charset="0"/>
            <a:cs typeface="Times New Roman" pitchFamily="18" charset="0"/>
          </a:endParaRPr>
        </a:p>
      </dsp:txBody>
      <dsp:txXfrm>
        <a:off x="1757998" y="906571"/>
        <a:ext cx="830390" cy="5155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EE04D9A-87A1-425B-96C6-743D7512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11</Pages>
  <Words>5524</Words>
  <Characters>32042</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LAURENTIA</dc:creator>
  <cp:lastModifiedBy>Morosan</cp:lastModifiedBy>
  <cp:revision>162</cp:revision>
  <cp:lastPrinted>2018-10-21T16:18:00Z</cp:lastPrinted>
  <dcterms:created xsi:type="dcterms:W3CDTF">2018-05-13T07:04:00Z</dcterms:created>
  <dcterms:modified xsi:type="dcterms:W3CDTF">2018-10-24T07:46:00Z</dcterms:modified>
</cp:coreProperties>
</file>