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DCF" w:rsidRPr="00FF422E" w:rsidRDefault="00DC1DCF" w:rsidP="00FF422E">
      <w:pPr>
        <w:spacing w:after="0"/>
        <w:ind w:firstLine="567"/>
        <w:jc w:val="center"/>
        <w:rPr>
          <w:rFonts w:ascii="Times New Roman" w:hAnsi="Times New Roman" w:cs="Times New Roman"/>
          <w:b/>
          <w:sz w:val="28"/>
          <w:szCs w:val="28"/>
        </w:rPr>
      </w:pPr>
      <w:r w:rsidRPr="00DC1DCF">
        <w:rPr>
          <w:rFonts w:ascii="Times New Roman" w:hAnsi="Times New Roman" w:cs="Times New Roman"/>
          <w:b/>
          <w:sz w:val="28"/>
          <w:szCs w:val="28"/>
        </w:rPr>
        <w:t>EVOLUTION ANALYSIS OF CREDITS</w:t>
      </w:r>
      <w:r>
        <w:rPr>
          <w:rFonts w:ascii="Times New Roman" w:hAnsi="Times New Roman" w:cs="Times New Roman"/>
          <w:b/>
          <w:sz w:val="28"/>
          <w:szCs w:val="28"/>
        </w:rPr>
        <w:t xml:space="preserve"> </w:t>
      </w:r>
      <w:r w:rsidRPr="00DC1DCF">
        <w:rPr>
          <w:rFonts w:ascii="Times New Roman" w:hAnsi="Times New Roman" w:cs="Times New Roman"/>
          <w:b/>
          <w:sz w:val="28"/>
          <w:szCs w:val="28"/>
        </w:rPr>
        <w:t xml:space="preserve">BY </w:t>
      </w:r>
      <w:r>
        <w:rPr>
          <w:rFonts w:ascii="Times New Roman" w:hAnsi="Times New Roman" w:cs="Times New Roman"/>
          <w:b/>
          <w:sz w:val="28"/>
          <w:szCs w:val="28"/>
        </w:rPr>
        <w:t xml:space="preserve">SECTORS ACTIVITY </w:t>
      </w:r>
      <w:r w:rsidRPr="00DC1DCF">
        <w:rPr>
          <w:rFonts w:ascii="Times New Roman" w:hAnsi="Times New Roman" w:cs="Times New Roman"/>
          <w:b/>
          <w:sz w:val="28"/>
          <w:szCs w:val="28"/>
        </w:rPr>
        <w:t xml:space="preserve"> IN ROMANIA</w:t>
      </w:r>
    </w:p>
    <w:p w:rsidR="00FF422E" w:rsidRDefault="00FF422E" w:rsidP="00FF422E">
      <w:pPr>
        <w:spacing w:after="0"/>
        <w:ind w:firstLine="567"/>
        <w:jc w:val="center"/>
        <w:rPr>
          <w:rFonts w:ascii="Times New Roman" w:hAnsi="Times New Roman" w:cs="Times New Roman"/>
          <w:b/>
          <w:sz w:val="24"/>
          <w:szCs w:val="24"/>
        </w:rPr>
      </w:pPr>
    </w:p>
    <w:p w:rsidR="00FF422E" w:rsidRPr="00FF422E" w:rsidRDefault="00FF422E" w:rsidP="00FF422E">
      <w:pPr>
        <w:spacing w:after="0"/>
        <w:ind w:firstLine="567"/>
        <w:jc w:val="center"/>
        <w:rPr>
          <w:rFonts w:ascii="Times New Roman" w:hAnsi="Times New Roman" w:cs="Times New Roman"/>
          <w:b/>
        </w:rPr>
      </w:pPr>
      <w:r w:rsidRPr="00FF422E">
        <w:rPr>
          <w:rFonts w:ascii="Times New Roman" w:hAnsi="Times New Roman" w:cs="Times New Roman"/>
        </w:rPr>
        <w:t>Associate prof</w:t>
      </w:r>
      <w:r>
        <w:rPr>
          <w:rFonts w:ascii="Times New Roman" w:hAnsi="Times New Roman" w:cs="Times New Roman"/>
        </w:rPr>
        <w:t xml:space="preserve">essor Ph.D. </w:t>
      </w:r>
      <w:r w:rsidRPr="00FF422E">
        <w:rPr>
          <w:rFonts w:ascii="Times New Roman" w:hAnsi="Times New Roman" w:cs="Times New Roman"/>
        </w:rPr>
        <w:t>Anișoara Apetri, University Stefan cel Mare Suceava</w:t>
      </w:r>
      <w:r>
        <w:rPr>
          <w:rFonts w:ascii="Times New Roman" w:hAnsi="Times New Roman" w:cs="Times New Roman"/>
        </w:rPr>
        <w:t>, e-mail: anusoarad</w:t>
      </w:r>
      <w:r w:rsidRPr="00FF422E">
        <w:rPr>
          <w:rFonts w:ascii="Times New Roman" w:hAnsi="Times New Roman" w:cs="Times New Roman"/>
        </w:rPr>
        <w:t>@seap.usv.ro</w:t>
      </w:r>
    </w:p>
    <w:p w:rsidR="00FF422E" w:rsidRPr="00FF422E" w:rsidRDefault="00FF422E" w:rsidP="00FF422E">
      <w:pPr>
        <w:spacing w:after="0"/>
        <w:ind w:firstLine="567"/>
        <w:jc w:val="center"/>
        <w:rPr>
          <w:rFonts w:ascii="Times New Roman" w:hAnsi="Times New Roman" w:cs="Times New Roman"/>
        </w:rPr>
      </w:pPr>
      <w:r w:rsidRPr="00FF422E">
        <w:rPr>
          <w:rFonts w:ascii="Times New Roman" w:hAnsi="Times New Roman" w:cs="Times New Roman"/>
        </w:rPr>
        <w:t>Associate prof</w:t>
      </w:r>
      <w:r>
        <w:rPr>
          <w:rFonts w:ascii="Times New Roman" w:hAnsi="Times New Roman" w:cs="Times New Roman"/>
        </w:rPr>
        <w:t xml:space="preserve">essor Ph.D. Camellia Mihalciuc, </w:t>
      </w:r>
      <w:r w:rsidRPr="00FF422E">
        <w:rPr>
          <w:rFonts w:ascii="Times New Roman" w:hAnsi="Times New Roman" w:cs="Times New Roman"/>
        </w:rPr>
        <w:t>University Stefan cel Mare Suceava</w:t>
      </w:r>
    </w:p>
    <w:p w:rsidR="00FF422E" w:rsidRPr="00FF422E" w:rsidRDefault="00FF422E" w:rsidP="00FF422E">
      <w:pPr>
        <w:spacing w:after="0"/>
        <w:ind w:firstLine="567"/>
        <w:jc w:val="center"/>
        <w:rPr>
          <w:rFonts w:ascii="Times New Roman" w:hAnsi="Times New Roman" w:cs="Times New Roman"/>
          <w:b/>
        </w:rPr>
      </w:pPr>
      <w:r w:rsidRPr="00FF422E">
        <w:rPr>
          <w:rFonts w:ascii="Times New Roman" w:hAnsi="Times New Roman" w:cs="Times New Roman"/>
        </w:rPr>
        <w:t>e-mail: cameliam@seap.usv.ro</w:t>
      </w:r>
    </w:p>
    <w:p w:rsidR="00DE6EC4" w:rsidRDefault="00DE6EC4" w:rsidP="00F94501">
      <w:pPr>
        <w:spacing w:after="0"/>
        <w:ind w:firstLine="567"/>
        <w:jc w:val="both"/>
        <w:rPr>
          <w:rFonts w:ascii="Times New Roman" w:hAnsi="Times New Roman" w:cs="Times New Roman"/>
          <w:sz w:val="24"/>
          <w:szCs w:val="24"/>
        </w:rPr>
      </w:pPr>
    </w:p>
    <w:p w:rsidR="00FF422E" w:rsidRPr="00FF422E" w:rsidRDefault="00FF422E" w:rsidP="00FF422E">
      <w:pPr>
        <w:spacing w:after="0"/>
        <w:ind w:firstLine="567"/>
        <w:jc w:val="both"/>
        <w:rPr>
          <w:rFonts w:ascii="Times New Roman" w:hAnsi="Times New Roman" w:cs="Times New Roman"/>
          <w:b/>
          <w:sz w:val="24"/>
          <w:szCs w:val="24"/>
        </w:rPr>
      </w:pPr>
      <w:r w:rsidRPr="00FF422E">
        <w:rPr>
          <w:rFonts w:ascii="Times New Roman" w:hAnsi="Times New Roman" w:cs="Times New Roman"/>
          <w:b/>
          <w:sz w:val="24"/>
          <w:szCs w:val="24"/>
        </w:rPr>
        <w:t>Abstarct</w:t>
      </w:r>
    </w:p>
    <w:p w:rsidR="00A672DF" w:rsidRPr="00DC1DCF" w:rsidRDefault="00DC1DCF" w:rsidP="00FF422E">
      <w:pPr>
        <w:spacing w:after="0" w:line="240" w:lineRule="auto"/>
        <w:ind w:firstLine="568"/>
        <w:jc w:val="both"/>
        <w:rPr>
          <w:rFonts w:ascii="Times New Roman" w:hAnsi="Times New Roman" w:cs="Times New Roman"/>
          <w:i/>
          <w:sz w:val="24"/>
          <w:szCs w:val="24"/>
        </w:rPr>
      </w:pPr>
      <w:r w:rsidRPr="00DC1DCF">
        <w:rPr>
          <w:rFonts w:ascii="Times New Roman" w:hAnsi="Times New Roman" w:cs="Times New Roman"/>
          <w:i/>
          <w:sz w:val="24"/>
          <w:szCs w:val="24"/>
        </w:rPr>
        <w:t xml:space="preserve">The role of credit in the economy is concretized by the results obtained through the manifestation of credit relations or by the contribution of credit to the achievement of certain economic </w:t>
      </w:r>
      <w:r>
        <w:rPr>
          <w:rFonts w:ascii="Times New Roman" w:hAnsi="Times New Roman" w:cs="Times New Roman"/>
          <w:i/>
          <w:sz w:val="24"/>
          <w:szCs w:val="24"/>
        </w:rPr>
        <w:t>policy objectives, the credit having a</w:t>
      </w:r>
      <w:r w:rsidRPr="00DC1DCF">
        <w:rPr>
          <w:rFonts w:ascii="Times New Roman" w:hAnsi="Times New Roman" w:cs="Times New Roman"/>
          <w:i/>
          <w:sz w:val="24"/>
          <w:szCs w:val="24"/>
        </w:rPr>
        <w:t xml:space="preserve"> particular importance in the modern economic system. If business financing is concerned, credit plays a vital role. The overall objective of this paper is given by the analysis of the evolution of credits in Romania during the period 2010-2017, this analysis being carried out by sectors of activity.</w:t>
      </w:r>
    </w:p>
    <w:p w:rsidR="003D546A" w:rsidRDefault="003D546A" w:rsidP="00FF422E">
      <w:pPr>
        <w:spacing w:after="0" w:line="240" w:lineRule="auto"/>
        <w:ind w:firstLine="568"/>
        <w:jc w:val="both"/>
        <w:rPr>
          <w:rFonts w:ascii="Times New Roman" w:hAnsi="Times New Roman" w:cs="Times New Roman"/>
          <w:b/>
          <w:i/>
          <w:sz w:val="24"/>
          <w:szCs w:val="24"/>
        </w:rPr>
      </w:pPr>
    </w:p>
    <w:p w:rsidR="00821BB6" w:rsidRPr="00DB585E" w:rsidRDefault="0018749E" w:rsidP="00FF422E">
      <w:pPr>
        <w:spacing w:after="0" w:line="240" w:lineRule="auto"/>
        <w:ind w:firstLine="568"/>
        <w:jc w:val="both"/>
        <w:rPr>
          <w:rFonts w:ascii="Times New Roman" w:hAnsi="Times New Roman" w:cs="Times New Roman"/>
          <w:i/>
          <w:sz w:val="24"/>
          <w:szCs w:val="24"/>
        </w:rPr>
      </w:pPr>
      <w:r w:rsidRPr="00DB585E">
        <w:rPr>
          <w:rFonts w:ascii="Times New Roman" w:hAnsi="Times New Roman" w:cs="Times New Roman"/>
          <w:b/>
          <w:i/>
          <w:sz w:val="24"/>
          <w:szCs w:val="24"/>
        </w:rPr>
        <w:t>Key words:</w:t>
      </w:r>
      <w:r w:rsidR="002258A4" w:rsidRPr="00DB585E">
        <w:rPr>
          <w:rFonts w:ascii="Times New Roman" w:hAnsi="Times New Roman" w:cs="Times New Roman"/>
          <w:i/>
          <w:sz w:val="24"/>
          <w:szCs w:val="24"/>
        </w:rPr>
        <w:t xml:space="preserve"> </w:t>
      </w:r>
      <w:r w:rsidR="00821BB6" w:rsidRPr="00821BB6">
        <w:rPr>
          <w:rFonts w:ascii="Times New Roman" w:hAnsi="Times New Roman" w:cs="Times New Roman"/>
          <w:i/>
          <w:sz w:val="24"/>
          <w:szCs w:val="24"/>
        </w:rPr>
        <w:t>naturalistic theory of credit</w:t>
      </w:r>
      <w:r w:rsidR="00821BB6">
        <w:rPr>
          <w:rFonts w:ascii="Times New Roman" w:hAnsi="Times New Roman" w:cs="Times New Roman"/>
          <w:i/>
          <w:sz w:val="24"/>
          <w:szCs w:val="24"/>
        </w:rPr>
        <w:t xml:space="preserve">, </w:t>
      </w:r>
      <w:r w:rsidR="00821BB6" w:rsidRPr="00821BB6">
        <w:rPr>
          <w:rFonts w:ascii="Times New Roman" w:hAnsi="Times New Roman" w:cs="Times New Roman"/>
          <w:i/>
          <w:sz w:val="24"/>
          <w:szCs w:val="24"/>
        </w:rPr>
        <w:t>expansionist theory credit</w:t>
      </w:r>
      <w:r w:rsidR="00821BB6">
        <w:rPr>
          <w:rFonts w:ascii="Times New Roman" w:hAnsi="Times New Roman" w:cs="Times New Roman"/>
          <w:i/>
          <w:sz w:val="24"/>
          <w:szCs w:val="24"/>
        </w:rPr>
        <w:t xml:space="preserve">, </w:t>
      </w:r>
      <w:r w:rsidR="00821BB6" w:rsidRPr="00821BB6">
        <w:rPr>
          <w:rFonts w:ascii="Times New Roman" w:hAnsi="Times New Roman" w:cs="Times New Roman"/>
          <w:i/>
          <w:sz w:val="24"/>
          <w:szCs w:val="24"/>
        </w:rPr>
        <w:t>the theory of regulated credit</w:t>
      </w:r>
      <w:r w:rsidR="00727D7D">
        <w:rPr>
          <w:rFonts w:ascii="Times New Roman" w:hAnsi="Times New Roman" w:cs="Times New Roman"/>
          <w:i/>
          <w:sz w:val="24"/>
          <w:szCs w:val="24"/>
        </w:rPr>
        <w:t>, b</w:t>
      </w:r>
      <w:r w:rsidR="00727D7D" w:rsidRPr="00727D7D">
        <w:rPr>
          <w:rFonts w:ascii="Times New Roman" w:hAnsi="Times New Roman" w:cs="Times New Roman"/>
          <w:i/>
          <w:sz w:val="24"/>
          <w:szCs w:val="24"/>
        </w:rPr>
        <w:t>ank credit</w:t>
      </w:r>
    </w:p>
    <w:p w:rsidR="00A672DF" w:rsidRDefault="002258A4" w:rsidP="00FF422E">
      <w:pPr>
        <w:spacing w:after="0" w:line="240" w:lineRule="auto"/>
        <w:ind w:firstLine="568"/>
        <w:jc w:val="both"/>
        <w:rPr>
          <w:rFonts w:ascii="Times New Roman" w:hAnsi="Times New Roman" w:cs="Times New Roman"/>
          <w:sz w:val="24"/>
          <w:szCs w:val="24"/>
        </w:rPr>
      </w:pPr>
      <w:r>
        <w:t>JEL Classification: G20, G21</w:t>
      </w:r>
    </w:p>
    <w:p w:rsidR="00A672DF" w:rsidRDefault="00A672DF" w:rsidP="00FF422E">
      <w:pPr>
        <w:spacing w:after="0" w:line="240" w:lineRule="auto"/>
        <w:ind w:firstLine="568"/>
        <w:jc w:val="both"/>
        <w:rPr>
          <w:rFonts w:ascii="Times New Roman" w:hAnsi="Times New Roman" w:cs="Times New Roman"/>
          <w:sz w:val="24"/>
          <w:szCs w:val="24"/>
        </w:rPr>
      </w:pPr>
    </w:p>
    <w:p w:rsidR="00AB4CFC" w:rsidRPr="00AB4CFC" w:rsidRDefault="00C94D5F" w:rsidP="00AB4CFC">
      <w:pPr>
        <w:pStyle w:val="ListParagraph"/>
        <w:numPr>
          <w:ilvl w:val="0"/>
          <w:numId w:val="5"/>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C94D5F" w:rsidRDefault="00C94D5F" w:rsidP="00AB4CFC">
      <w:pPr>
        <w:spacing w:after="0"/>
        <w:ind w:firstLine="567"/>
        <w:jc w:val="both"/>
        <w:rPr>
          <w:rFonts w:ascii="Times New Roman" w:hAnsi="Times New Roman" w:cs="Times New Roman"/>
          <w:sz w:val="24"/>
          <w:szCs w:val="24"/>
        </w:rPr>
      </w:pPr>
      <w:r w:rsidRPr="00C94D5F">
        <w:rPr>
          <w:rFonts w:ascii="Times New Roman" w:hAnsi="Times New Roman" w:cs="Times New Roman"/>
          <w:sz w:val="24"/>
          <w:szCs w:val="24"/>
        </w:rPr>
        <w:t xml:space="preserve">One of the main causes of stagnation of the economy </w:t>
      </w:r>
      <w:r>
        <w:rPr>
          <w:rFonts w:ascii="Times New Roman" w:hAnsi="Times New Roman" w:cs="Times New Roman"/>
          <w:sz w:val="24"/>
          <w:szCs w:val="24"/>
        </w:rPr>
        <w:t>from</w:t>
      </w:r>
      <w:r w:rsidRPr="00C94D5F">
        <w:rPr>
          <w:rFonts w:ascii="Times New Roman" w:hAnsi="Times New Roman" w:cs="Times New Roman"/>
          <w:sz w:val="24"/>
          <w:szCs w:val="24"/>
        </w:rPr>
        <w:t xml:space="preserve"> Romania is </w:t>
      </w:r>
      <w:r>
        <w:rPr>
          <w:rFonts w:ascii="Times New Roman" w:hAnsi="Times New Roman" w:cs="Times New Roman"/>
          <w:sz w:val="24"/>
          <w:szCs w:val="24"/>
        </w:rPr>
        <w:t xml:space="preserve">representing by </w:t>
      </w:r>
      <w:r w:rsidRPr="00C94D5F">
        <w:rPr>
          <w:rFonts w:ascii="Times New Roman" w:hAnsi="Times New Roman" w:cs="Times New Roman"/>
          <w:sz w:val="24"/>
          <w:szCs w:val="24"/>
        </w:rPr>
        <w:t xml:space="preserve">poor </w:t>
      </w:r>
      <w:r>
        <w:rPr>
          <w:rFonts w:ascii="Times New Roman" w:hAnsi="Times New Roman" w:cs="Times New Roman"/>
          <w:sz w:val="24"/>
          <w:szCs w:val="24"/>
        </w:rPr>
        <w:t>lending</w:t>
      </w:r>
      <w:r w:rsidRPr="00C94D5F">
        <w:rPr>
          <w:rFonts w:ascii="Times New Roman" w:hAnsi="Times New Roman" w:cs="Times New Roman"/>
          <w:sz w:val="24"/>
          <w:szCs w:val="24"/>
        </w:rPr>
        <w:t xml:space="preserve">. It is well-known that any economy, no matter how advanced, </w:t>
      </w:r>
      <w:r>
        <w:rPr>
          <w:rFonts w:ascii="Times New Roman" w:hAnsi="Times New Roman" w:cs="Times New Roman"/>
          <w:sz w:val="24"/>
          <w:szCs w:val="24"/>
        </w:rPr>
        <w:t>it can not grow without credit</w:t>
      </w:r>
      <w:r w:rsidRPr="00C94D5F">
        <w:rPr>
          <w:rFonts w:ascii="Times New Roman" w:hAnsi="Times New Roman" w:cs="Times New Roman"/>
          <w:sz w:val="24"/>
          <w:szCs w:val="24"/>
        </w:rPr>
        <w:t>.</w:t>
      </w:r>
    </w:p>
    <w:p w:rsidR="00AB4CFC" w:rsidRDefault="00C94D5F" w:rsidP="00AB4CFC">
      <w:pPr>
        <w:spacing w:after="0"/>
        <w:ind w:firstLine="567"/>
        <w:jc w:val="both"/>
      </w:pPr>
      <w:r w:rsidRPr="00C94D5F">
        <w:rPr>
          <w:rFonts w:ascii="Times New Roman" w:hAnsi="Times New Roman" w:cs="Times New Roman"/>
          <w:sz w:val="24"/>
          <w:szCs w:val="24"/>
        </w:rPr>
        <w:t xml:space="preserve">The term </w:t>
      </w:r>
      <w:r>
        <w:rPr>
          <w:rFonts w:ascii="Times New Roman" w:hAnsi="Times New Roman" w:cs="Times New Roman"/>
          <w:sz w:val="24"/>
          <w:szCs w:val="24"/>
        </w:rPr>
        <w:t>of credit comes from the l</w:t>
      </w:r>
      <w:r w:rsidRPr="00C94D5F">
        <w:rPr>
          <w:rFonts w:ascii="Times New Roman" w:hAnsi="Times New Roman" w:cs="Times New Roman"/>
          <w:sz w:val="24"/>
          <w:szCs w:val="24"/>
        </w:rPr>
        <w:t xml:space="preserve">atin </w:t>
      </w:r>
      <w:r>
        <w:rPr>
          <w:rFonts w:ascii="Times New Roman" w:hAnsi="Times New Roman" w:cs="Times New Roman"/>
          <w:sz w:val="24"/>
          <w:szCs w:val="24"/>
        </w:rPr>
        <w:t xml:space="preserve">word </w:t>
      </w:r>
      <w:r w:rsidRPr="00C94D5F">
        <w:rPr>
          <w:rFonts w:ascii="Times New Roman" w:hAnsi="Times New Roman" w:cs="Times New Roman"/>
          <w:sz w:val="24"/>
          <w:szCs w:val="24"/>
        </w:rPr>
        <w:t>"credit</w:t>
      </w:r>
      <w:r>
        <w:rPr>
          <w:rFonts w:ascii="Times New Roman" w:hAnsi="Times New Roman" w:cs="Times New Roman"/>
          <w:sz w:val="24"/>
          <w:szCs w:val="24"/>
        </w:rPr>
        <w:t>o</w:t>
      </w:r>
      <w:r w:rsidRPr="00C94D5F">
        <w:rPr>
          <w:rFonts w:ascii="Times New Roman" w:hAnsi="Times New Roman" w:cs="Times New Roman"/>
          <w:sz w:val="24"/>
          <w:szCs w:val="24"/>
        </w:rPr>
        <w:t xml:space="preserve">", which translates into trusting. Trust is needed in </w:t>
      </w:r>
      <w:r>
        <w:rPr>
          <w:rFonts w:ascii="Times New Roman" w:hAnsi="Times New Roman" w:cs="Times New Roman"/>
          <w:sz w:val="24"/>
          <w:szCs w:val="24"/>
        </w:rPr>
        <w:t>the loan relations</w:t>
      </w:r>
      <w:r w:rsidRPr="00C94D5F">
        <w:rPr>
          <w:rFonts w:ascii="Times New Roman" w:hAnsi="Times New Roman" w:cs="Times New Roman"/>
          <w:sz w:val="24"/>
          <w:szCs w:val="24"/>
        </w:rPr>
        <w:t xml:space="preserve">, as without it </w:t>
      </w:r>
      <w:r>
        <w:rPr>
          <w:rFonts w:ascii="Times New Roman" w:hAnsi="Times New Roman" w:cs="Times New Roman"/>
          <w:sz w:val="24"/>
          <w:szCs w:val="24"/>
        </w:rPr>
        <w:t xml:space="preserve">the </w:t>
      </w:r>
      <w:r w:rsidRPr="00C94D5F">
        <w:rPr>
          <w:rFonts w:ascii="Times New Roman" w:hAnsi="Times New Roman" w:cs="Times New Roman"/>
          <w:sz w:val="24"/>
          <w:szCs w:val="24"/>
        </w:rPr>
        <w:t>sale of goods with deferred payment would not take place. In order for the credit relationship to manifest itself, the creditor must have confidence in the debtor's moral qualities, be convinced of his creditworthiness, his financial abi</w:t>
      </w:r>
      <w:r w:rsidR="00641625">
        <w:rPr>
          <w:rFonts w:ascii="Times New Roman" w:hAnsi="Times New Roman" w:cs="Times New Roman"/>
          <w:sz w:val="24"/>
          <w:szCs w:val="24"/>
        </w:rPr>
        <w:t>lity to make payment at term</w:t>
      </w:r>
      <w:r w:rsidRPr="00C94D5F">
        <w:rPr>
          <w:rFonts w:ascii="Times New Roman" w:hAnsi="Times New Roman" w:cs="Times New Roman"/>
          <w:sz w:val="24"/>
          <w:szCs w:val="24"/>
        </w:rPr>
        <w:t>, his solvency.</w:t>
      </w:r>
      <w:r w:rsidR="00AB4CFC" w:rsidRPr="00AB4CFC">
        <w:t xml:space="preserve"> </w:t>
      </w:r>
      <w:r w:rsidR="00AB4CFC">
        <w:t>[Sandu, G., 2001, p.35]</w:t>
      </w:r>
      <w:r w:rsidR="00AB4CFC">
        <w:rPr>
          <w:rFonts w:ascii="Times New Roman" w:hAnsi="Times New Roman" w:cs="Times New Roman"/>
          <w:sz w:val="24"/>
          <w:szCs w:val="24"/>
        </w:rPr>
        <w:t>.</w:t>
      </w:r>
      <w:r w:rsidR="00AB4CFC">
        <w:t xml:space="preserve"> </w:t>
      </w:r>
      <w:r w:rsidR="00880824">
        <w:t xml:space="preserve"> </w:t>
      </w:r>
    </w:p>
    <w:p w:rsidR="00FC5989" w:rsidRDefault="00641625" w:rsidP="00FC5989">
      <w:pPr>
        <w:spacing w:after="0"/>
        <w:ind w:firstLine="567"/>
        <w:jc w:val="both"/>
      </w:pPr>
      <w:r w:rsidRPr="00641625">
        <w:rPr>
          <w:rFonts w:ascii="Times New Roman" w:hAnsi="Times New Roman" w:cs="Times New Roman"/>
          <w:sz w:val="24"/>
          <w:szCs w:val="24"/>
        </w:rPr>
        <w:t xml:space="preserve">The notion of "credit" is characterized by the chronological gap </w:t>
      </w:r>
      <w:r>
        <w:rPr>
          <w:rFonts w:ascii="Times New Roman" w:hAnsi="Times New Roman" w:cs="Times New Roman"/>
          <w:sz w:val="24"/>
          <w:szCs w:val="24"/>
        </w:rPr>
        <w:t>that separates</w:t>
      </w:r>
      <w:r w:rsidRPr="00641625">
        <w:rPr>
          <w:rFonts w:ascii="Times New Roman" w:hAnsi="Times New Roman" w:cs="Times New Roman"/>
          <w:sz w:val="24"/>
          <w:szCs w:val="24"/>
        </w:rPr>
        <w:t xml:space="preserve"> a benefit from its contraption. This definition covers two big assumptions in practice: that of t</w:t>
      </w:r>
      <w:r w:rsidR="00EC48B7">
        <w:rPr>
          <w:rFonts w:ascii="Times New Roman" w:hAnsi="Times New Roman" w:cs="Times New Roman"/>
          <w:sz w:val="24"/>
          <w:szCs w:val="24"/>
        </w:rPr>
        <w:t>he money loan and that of the sy</w:t>
      </w:r>
      <w:r w:rsidRPr="00641625">
        <w:rPr>
          <w:rFonts w:ascii="Times New Roman" w:hAnsi="Times New Roman" w:cs="Times New Roman"/>
          <w:sz w:val="24"/>
          <w:szCs w:val="24"/>
        </w:rPr>
        <w:t>nal</w:t>
      </w:r>
      <w:r w:rsidR="00EC48B7">
        <w:rPr>
          <w:rFonts w:ascii="Times New Roman" w:hAnsi="Times New Roman" w:cs="Times New Roman"/>
          <w:sz w:val="24"/>
          <w:szCs w:val="24"/>
        </w:rPr>
        <w:t>l</w:t>
      </w:r>
      <w:r w:rsidRPr="00641625">
        <w:rPr>
          <w:rFonts w:ascii="Times New Roman" w:hAnsi="Times New Roman" w:cs="Times New Roman"/>
          <w:sz w:val="24"/>
          <w:szCs w:val="24"/>
        </w:rPr>
        <w:t>agmatic contr</w:t>
      </w:r>
      <w:r w:rsidR="00EC48B7">
        <w:rPr>
          <w:rFonts w:ascii="Times New Roman" w:hAnsi="Times New Roman" w:cs="Times New Roman"/>
          <w:sz w:val="24"/>
          <w:szCs w:val="24"/>
        </w:rPr>
        <w:t>act in which the borrowing part</w:t>
      </w:r>
      <w:r w:rsidRPr="00641625">
        <w:rPr>
          <w:rFonts w:ascii="Times New Roman" w:hAnsi="Times New Roman" w:cs="Times New Roman"/>
          <w:sz w:val="24"/>
          <w:szCs w:val="24"/>
        </w:rPr>
        <w:t xml:space="preserve"> benefits from a term. In both cases, the creditor provides an immediate benefit, and he will receive his </w:t>
      </w:r>
      <w:r w:rsidR="00EC48B7" w:rsidRPr="00641625">
        <w:rPr>
          <w:rFonts w:ascii="Times New Roman" w:hAnsi="Times New Roman" w:cs="Times New Roman"/>
          <w:sz w:val="24"/>
          <w:szCs w:val="24"/>
        </w:rPr>
        <w:t>contraption</w:t>
      </w:r>
      <w:r w:rsidRPr="00641625">
        <w:rPr>
          <w:rFonts w:ascii="Times New Roman" w:hAnsi="Times New Roman" w:cs="Times New Roman"/>
          <w:sz w:val="24"/>
          <w:szCs w:val="24"/>
        </w:rPr>
        <w:t xml:space="preserve"> at a later date.</w:t>
      </w:r>
      <w:r w:rsidR="00F02F49">
        <w:rPr>
          <w:rFonts w:ascii="Times New Roman" w:hAnsi="Times New Roman" w:cs="Times New Roman"/>
          <w:sz w:val="24"/>
          <w:szCs w:val="24"/>
        </w:rPr>
        <w:t xml:space="preserve"> </w:t>
      </w:r>
      <w:r w:rsidR="00F02F49">
        <w:t>[</w:t>
      </w:r>
      <w:r w:rsidR="00F02F49" w:rsidRPr="00E60B8F">
        <w:rPr>
          <w:rFonts w:ascii="Times New Roman" w:hAnsi="Times New Roman" w:cs="Times New Roman"/>
        </w:rPr>
        <w:t>Albu-Cîrnu</w:t>
      </w:r>
      <w:r w:rsidR="00F02F49">
        <w:rPr>
          <w:rFonts w:ascii="Times New Roman" w:hAnsi="Times New Roman" w:cs="Times New Roman"/>
        </w:rPr>
        <w:t>, I.</w:t>
      </w:r>
      <w:r w:rsidR="00F02F49" w:rsidRPr="00E60B8F">
        <w:rPr>
          <w:rFonts w:ascii="Times New Roman" w:hAnsi="Times New Roman" w:cs="Times New Roman"/>
        </w:rPr>
        <w:t>, 2002, p. 36</w:t>
      </w:r>
      <w:r w:rsidR="00F02F49">
        <w:t>]</w:t>
      </w:r>
      <w:r w:rsidR="00F02F49">
        <w:rPr>
          <w:rFonts w:ascii="Times New Roman" w:hAnsi="Times New Roman" w:cs="Times New Roman"/>
          <w:sz w:val="24"/>
          <w:szCs w:val="24"/>
        </w:rPr>
        <w:t>.</w:t>
      </w:r>
      <w:r w:rsidR="00F02F49">
        <w:t xml:space="preserve"> </w:t>
      </w:r>
    </w:p>
    <w:p w:rsidR="00FC5989" w:rsidRPr="007D533D" w:rsidRDefault="00F218CF" w:rsidP="007D533D">
      <w:pPr>
        <w:spacing w:after="0"/>
        <w:ind w:firstLine="567"/>
        <w:jc w:val="both"/>
      </w:pPr>
      <w:r w:rsidRPr="00F218CF">
        <w:rPr>
          <w:rFonts w:ascii="Times New Roman" w:hAnsi="Times New Roman" w:cs="Times New Roman"/>
          <w:sz w:val="24"/>
          <w:szCs w:val="24"/>
        </w:rPr>
        <w:t>Loan in general is</w:t>
      </w:r>
      <w:r w:rsidRPr="00F218CF">
        <w:rPr>
          <w:rFonts w:ascii="Times New Roman" w:hAnsi="Times New Roman" w:cs="Times New Roman"/>
          <w:i/>
          <w:sz w:val="24"/>
          <w:szCs w:val="24"/>
        </w:rPr>
        <w:t xml:space="preserve"> "</w:t>
      </w:r>
      <w:r>
        <w:rPr>
          <w:rFonts w:ascii="Times New Roman" w:hAnsi="Times New Roman" w:cs="Times New Roman"/>
          <w:i/>
          <w:sz w:val="24"/>
          <w:szCs w:val="24"/>
        </w:rPr>
        <w:t>…</w:t>
      </w:r>
      <w:r w:rsidRPr="00F218CF">
        <w:t xml:space="preserve"> </w:t>
      </w:r>
      <w:r w:rsidRPr="00F218CF">
        <w:rPr>
          <w:rFonts w:ascii="Times New Roman" w:hAnsi="Times New Roman" w:cs="Times New Roman"/>
          <w:i/>
          <w:sz w:val="24"/>
          <w:szCs w:val="24"/>
        </w:rPr>
        <w:t>the exchange of a present monetary value against a future monetary value."</w:t>
      </w:r>
      <w:r w:rsidR="00972241">
        <w:rPr>
          <w:rFonts w:ascii="Times New Roman" w:hAnsi="Times New Roman" w:cs="Times New Roman"/>
          <w:i/>
          <w:sz w:val="24"/>
          <w:szCs w:val="24"/>
        </w:rPr>
        <w:t xml:space="preserve"> </w:t>
      </w:r>
      <w:r w:rsidR="00972241">
        <w:t>[</w:t>
      </w:r>
      <w:r w:rsidR="00972241">
        <w:rPr>
          <w:rFonts w:ascii="Times New Roman" w:hAnsi="Times New Roman" w:cs="Times New Roman"/>
        </w:rPr>
        <w:t>Dedu, V.,</w:t>
      </w:r>
      <w:r w:rsidR="00972241" w:rsidRPr="002F6B28">
        <w:rPr>
          <w:rFonts w:ascii="Times New Roman" w:hAnsi="Times New Roman" w:cs="Times New Roman"/>
        </w:rPr>
        <w:t xml:space="preserve"> 1996, p. 24</w:t>
      </w:r>
      <w:r w:rsidR="00972241">
        <w:t>]</w:t>
      </w:r>
      <w:r w:rsidR="007D533D">
        <w:t xml:space="preserve"> </w:t>
      </w:r>
      <w:r w:rsidR="005A5088" w:rsidRPr="005A5088">
        <w:rPr>
          <w:rFonts w:ascii="Times New Roman" w:hAnsi="Times New Roman" w:cs="Times New Roman"/>
          <w:sz w:val="24"/>
          <w:szCs w:val="24"/>
        </w:rPr>
        <w:t>So a defining feature of credit is the obligation to pay, usually on a certain date, and usually at a certain interest rate.</w:t>
      </w:r>
    </w:p>
    <w:p w:rsidR="005A5088" w:rsidRPr="007D533D" w:rsidRDefault="005A5088" w:rsidP="007D533D">
      <w:pPr>
        <w:spacing w:after="0"/>
        <w:ind w:firstLine="567"/>
        <w:jc w:val="both"/>
      </w:pPr>
      <w:r w:rsidRPr="005A5088">
        <w:rPr>
          <w:rFonts w:ascii="Times New Roman" w:hAnsi="Times New Roman" w:cs="Times New Roman"/>
          <w:sz w:val="24"/>
          <w:szCs w:val="24"/>
        </w:rPr>
        <w:t xml:space="preserve">Another definition presents credit emphasizing its role in the redistribution, creation and amplification of the monetary mass, as follows: </w:t>
      </w:r>
      <w:r w:rsidRPr="005A5088">
        <w:rPr>
          <w:rFonts w:ascii="Times New Roman" w:hAnsi="Times New Roman" w:cs="Times New Roman"/>
          <w:i/>
          <w:sz w:val="24"/>
          <w:szCs w:val="24"/>
        </w:rPr>
        <w:t xml:space="preserve">"..the credit is the expression of the relations of redistribution of the latent cash availability in the economy to both the non-financial and the financial </w:t>
      </w:r>
      <w:r>
        <w:rPr>
          <w:rFonts w:ascii="Times New Roman" w:hAnsi="Times New Roman" w:cs="Times New Roman"/>
          <w:i/>
          <w:sz w:val="24"/>
          <w:szCs w:val="24"/>
        </w:rPr>
        <w:t>agents</w:t>
      </w:r>
      <w:r w:rsidRPr="005A5088">
        <w:rPr>
          <w:rFonts w:ascii="Times New Roman" w:hAnsi="Times New Roman" w:cs="Times New Roman"/>
          <w:i/>
          <w:sz w:val="24"/>
          <w:szCs w:val="24"/>
        </w:rPr>
        <w:t>, by replacing the passive currency with active currency,, as well as strengthening and amplifying money</w:t>
      </w:r>
      <w:r w:rsidR="007D533D">
        <w:rPr>
          <w:rFonts w:ascii="Times New Roman" w:hAnsi="Times New Roman" w:cs="Times New Roman"/>
          <w:i/>
          <w:sz w:val="24"/>
          <w:szCs w:val="24"/>
        </w:rPr>
        <w:t xml:space="preserve"> capital</w:t>
      </w:r>
      <w:r w:rsidRPr="005A5088">
        <w:rPr>
          <w:rFonts w:ascii="Times New Roman" w:hAnsi="Times New Roman" w:cs="Times New Roman"/>
          <w:i/>
          <w:sz w:val="24"/>
          <w:szCs w:val="24"/>
        </w:rPr>
        <w:t xml:space="preserve"> and increasing </w:t>
      </w:r>
      <w:r w:rsidR="007D533D" w:rsidRPr="007D533D">
        <w:rPr>
          <w:rFonts w:ascii="Times New Roman" w:hAnsi="Times New Roman" w:cs="Times New Roman"/>
          <w:i/>
          <w:sz w:val="24"/>
          <w:szCs w:val="24"/>
        </w:rPr>
        <w:t>monetary mass</w:t>
      </w:r>
      <w:r w:rsidR="007D533D" w:rsidRPr="005A5088">
        <w:rPr>
          <w:rFonts w:ascii="Times New Roman" w:hAnsi="Times New Roman" w:cs="Times New Roman"/>
          <w:i/>
          <w:sz w:val="24"/>
          <w:szCs w:val="24"/>
        </w:rPr>
        <w:t xml:space="preserve"> </w:t>
      </w:r>
      <w:r w:rsidR="007D533D">
        <w:rPr>
          <w:rFonts w:ascii="Times New Roman" w:hAnsi="Times New Roman" w:cs="Times New Roman"/>
          <w:i/>
          <w:sz w:val="24"/>
          <w:szCs w:val="24"/>
        </w:rPr>
        <w:t>(</w:t>
      </w:r>
      <w:r w:rsidRPr="005A5088">
        <w:rPr>
          <w:rFonts w:ascii="Times New Roman" w:hAnsi="Times New Roman" w:cs="Times New Roman"/>
          <w:i/>
          <w:sz w:val="24"/>
          <w:szCs w:val="24"/>
        </w:rPr>
        <w:t>money</w:t>
      </w:r>
      <w:r w:rsidR="007D533D">
        <w:rPr>
          <w:rFonts w:ascii="Times New Roman" w:hAnsi="Times New Roman" w:cs="Times New Roman"/>
          <w:i/>
          <w:sz w:val="24"/>
          <w:szCs w:val="24"/>
        </w:rPr>
        <w:t>) in circulation.</w:t>
      </w:r>
      <w:r w:rsidRPr="005A5088">
        <w:rPr>
          <w:rFonts w:ascii="Times New Roman" w:hAnsi="Times New Roman" w:cs="Times New Roman"/>
          <w:i/>
          <w:sz w:val="24"/>
          <w:szCs w:val="24"/>
        </w:rPr>
        <w:t>"</w:t>
      </w:r>
      <w:r w:rsidR="007D533D">
        <w:t>[</w:t>
      </w:r>
      <w:r w:rsidR="007D533D" w:rsidRPr="005D6562">
        <w:rPr>
          <w:rFonts w:ascii="Times New Roman" w:hAnsi="Times New Roman" w:cs="Times New Roman"/>
        </w:rPr>
        <w:t>Turlic</w:t>
      </w:r>
      <w:r w:rsidR="007D533D">
        <w:rPr>
          <w:rFonts w:ascii="Times New Roman" w:hAnsi="Times New Roman" w:cs="Times New Roman"/>
        </w:rPr>
        <w:t>, V.</w:t>
      </w:r>
      <w:r w:rsidR="007D533D" w:rsidRPr="002F6B28">
        <w:rPr>
          <w:rFonts w:ascii="Times New Roman" w:hAnsi="Times New Roman" w:cs="Times New Roman"/>
        </w:rPr>
        <w:t xml:space="preserve"> et al., 2005, p. 124</w:t>
      </w:r>
      <w:r w:rsidR="007D533D">
        <w:t>].</w:t>
      </w:r>
    </w:p>
    <w:p w:rsidR="00FC5989" w:rsidRDefault="007D533D" w:rsidP="00FC5989">
      <w:pPr>
        <w:spacing w:after="0"/>
        <w:ind w:firstLine="567"/>
        <w:jc w:val="both"/>
        <w:rPr>
          <w:rFonts w:ascii="Times New Roman" w:hAnsi="Times New Roman" w:cs="Times New Roman"/>
          <w:sz w:val="24"/>
          <w:szCs w:val="24"/>
        </w:rPr>
      </w:pPr>
      <w:r w:rsidRPr="007D533D">
        <w:rPr>
          <w:rFonts w:ascii="Times New Roman" w:hAnsi="Times New Roman" w:cs="Times New Roman"/>
          <w:sz w:val="24"/>
          <w:szCs w:val="24"/>
        </w:rPr>
        <w:t xml:space="preserve">The theoretical literature on credit market friction highlighted the importance of credit in shaping the links between the financial market and the real economy. The expansion of the open economy has shown that credit market friction can play an important role in transmitting </w:t>
      </w:r>
      <w:r w:rsidRPr="007D533D">
        <w:rPr>
          <w:rFonts w:ascii="Times New Roman" w:hAnsi="Times New Roman" w:cs="Times New Roman"/>
          <w:sz w:val="24"/>
          <w:szCs w:val="24"/>
        </w:rPr>
        <w:lastRenderedPageBreak/>
        <w:t>shocks between countries</w:t>
      </w:r>
      <w:r>
        <w:rPr>
          <w:rFonts w:ascii="Times New Roman" w:hAnsi="Times New Roman" w:cs="Times New Roman"/>
          <w:sz w:val="24"/>
          <w:szCs w:val="24"/>
        </w:rPr>
        <w:t>,</w:t>
      </w:r>
      <w:r w:rsidRPr="007D533D">
        <w:rPr>
          <w:rFonts w:ascii="Times New Roman" w:hAnsi="Times New Roman" w:cs="Times New Roman"/>
          <w:sz w:val="24"/>
          <w:szCs w:val="24"/>
        </w:rPr>
        <w:t xml:space="preserve"> through balance sheets</w:t>
      </w:r>
      <w:r>
        <w:rPr>
          <w:rFonts w:ascii="Times New Roman" w:hAnsi="Times New Roman" w:cs="Times New Roman"/>
          <w:sz w:val="24"/>
          <w:szCs w:val="24"/>
        </w:rPr>
        <w:t xml:space="preserve"> links</w:t>
      </w:r>
      <w:r w:rsidRPr="007D533D">
        <w:rPr>
          <w:rFonts w:ascii="Times New Roman" w:hAnsi="Times New Roman" w:cs="Times New Roman"/>
          <w:sz w:val="24"/>
          <w:szCs w:val="24"/>
        </w:rPr>
        <w:t xml:space="preserve"> between investors and financial institutions.</w:t>
      </w:r>
    </w:p>
    <w:p w:rsidR="00FC5989" w:rsidRPr="00FC5989" w:rsidRDefault="00CA7146" w:rsidP="00FC5989">
      <w:pPr>
        <w:spacing w:after="0"/>
        <w:ind w:firstLine="567"/>
        <w:jc w:val="both"/>
        <w:rPr>
          <w:rFonts w:ascii="Times New Roman" w:hAnsi="Times New Roman" w:cs="Times New Roman"/>
          <w:sz w:val="24"/>
          <w:szCs w:val="24"/>
        </w:rPr>
      </w:pPr>
      <w:r w:rsidRPr="00CA7146">
        <w:rPr>
          <w:rFonts w:ascii="Times New Roman" w:hAnsi="Times New Roman" w:cs="Times New Roman"/>
          <w:sz w:val="24"/>
          <w:szCs w:val="24"/>
        </w:rPr>
        <w:t>From an empirical perspective, many have studied the relationship between finance and development and have found that better functioning of financial intermediaries accelerates economic growth. Several authors examined the link between credit and business cycles, for example, based on empirical evidence of the monetary policy credit channel (Braun and Larrain, 2005 and Jacobiello and Minetti, 2008) and the role of global banks in transmitting liquidity shocks Cetorelli and Goldberg, 2008, 2010). However, little empirical effort has been made to quantify the importance of credit in shaping and forecasting the dynamics of the economic cycle and analyzing the international transmission of credit shocks within a global framework that incorporates both emerging economies and advanced economies.</w:t>
      </w:r>
      <w:r>
        <w:rPr>
          <w:rFonts w:ascii="Times New Roman" w:hAnsi="Times New Roman" w:cs="Times New Roman"/>
          <w:sz w:val="24"/>
          <w:szCs w:val="24"/>
        </w:rPr>
        <w:t xml:space="preserve"> </w:t>
      </w:r>
      <w:r w:rsidR="00FC5989">
        <w:t>[</w:t>
      </w:r>
      <w:r w:rsidR="00391491">
        <w:rPr>
          <w:rFonts w:ascii="Times New Roman" w:hAnsi="Times New Roman" w:cs="Times New Roman"/>
        </w:rPr>
        <w:t>TengTeng Xu, 2012</w:t>
      </w:r>
      <w:r w:rsidR="00FC5989">
        <w:t>]</w:t>
      </w:r>
      <w:r w:rsidR="00FC5989" w:rsidRPr="00B46513">
        <w:rPr>
          <w:rFonts w:ascii="Times New Roman" w:hAnsi="Times New Roman" w:cs="Times New Roman"/>
          <w:sz w:val="24"/>
          <w:szCs w:val="24"/>
        </w:rPr>
        <w:t>.</w:t>
      </w:r>
    </w:p>
    <w:p w:rsidR="00FC5989" w:rsidRDefault="00FC5989" w:rsidP="00B46513">
      <w:pPr>
        <w:spacing w:after="0"/>
        <w:ind w:firstLine="708"/>
        <w:jc w:val="both"/>
        <w:rPr>
          <w:rFonts w:ascii="Times New Roman" w:hAnsi="Times New Roman" w:cs="Times New Roman"/>
          <w:i/>
          <w:sz w:val="24"/>
          <w:szCs w:val="24"/>
        </w:rPr>
      </w:pPr>
    </w:p>
    <w:p w:rsidR="002D184F" w:rsidRDefault="00003A49" w:rsidP="00003A49">
      <w:pPr>
        <w:pStyle w:val="ListParagraph"/>
        <w:numPr>
          <w:ilvl w:val="0"/>
          <w:numId w:val="5"/>
        </w:numPr>
        <w:spacing w:after="0"/>
        <w:jc w:val="both"/>
        <w:rPr>
          <w:rFonts w:ascii="Times New Roman" w:hAnsi="Times New Roman" w:cs="Times New Roman"/>
          <w:b/>
          <w:sz w:val="24"/>
          <w:szCs w:val="24"/>
        </w:rPr>
      </w:pPr>
      <w:r>
        <w:rPr>
          <w:rFonts w:ascii="Times New Roman" w:hAnsi="Times New Roman" w:cs="Times New Roman"/>
          <w:b/>
          <w:sz w:val="24"/>
          <w:szCs w:val="24"/>
        </w:rPr>
        <w:t>The c</w:t>
      </w:r>
      <w:r w:rsidRPr="00003A49">
        <w:rPr>
          <w:rFonts w:ascii="Times New Roman" w:hAnsi="Times New Roman" w:cs="Times New Roman"/>
          <w:b/>
          <w:sz w:val="24"/>
          <w:szCs w:val="24"/>
        </w:rPr>
        <w:t>haracteristics of credit</w:t>
      </w:r>
    </w:p>
    <w:p w:rsidR="00FD1EF0" w:rsidRPr="002D184F" w:rsidRDefault="00003A49" w:rsidP="002D184F">
      <w:pPr>
        <w:spacing w:after="0"/>
        <w:ind w:firstLine="501"/>
        <w:jc w:val="both"/>
        <w:rPr>
          <w:rFonts w:ascii="Times New Roman" w:hAnsi="Times New Roman" w:cs="Times New Roman"/>
          <w:b/>
          <w:sz w:val="24"/>
          <w:szCs w:val="24"/>
        </w:rPr>
      </w:pPr>
      <w:r w:rsidRPr="00003A49">
        <w:rPr>
          <w:rFonts w:ascii="Times New Roman" w:hAnsi="Times New Roman" w:cs="Times New Roman"/>
          <w:sz w:val="24"/>
          <w:szCs w:val="24"/>
        </w:rPr>
        <w:t>Theories on cr</w:t>
      </w:r>
      <w:r w:rsidR="00CE076B">
        <w:rPr>
          <w:rFonts w:ascii="Times New Roman" w:hAnsi="Times New Roman" w:cs="Times New Roman"/>
          <w:sz w:val="24"/>
          <w:szCs w:val="24"/>
        </w:rPr>
        <w:t>edit characteristics are different</w:t>
      </w:r>
      <w:r w:rsidRPr="00003A49">
        <w:rPr>
          <w:rFonts w:ascii="Times New Roman" w:hAnsi="Times New Roman" w:cs="Times New Roman"/>
          <w:sz w:val="24"/>
          <w:szCs w:val="24"/>
        </w:rPr>
        <w:t xml:space="preserve">, </w:t>
      </w:r>
      <w:r w:rsidR="00CE076B" w:rsidRPr="00CE076B">
        <w:rPr>
          <w:rFonts w:ascii="Times New Roman" w:hAnsi="Times New Roman" w:cs="Times New Roman"/>
          <w:sz w:val="24"/>
          <w:szCs w:val="24"/>
        </w:rPr>
        <w:t xml:space="preserve">noting the following </w:t>
      </w:r>
      <w:r w:rsidRPr="00003A49">
        <w:rPr>
          <w:rFonts w:ascii="Times New Roman" w:hAnsi="Times New Roman" w:cs="Times New Roman"/>
          <w:sz w:val="24"/>
          <w:szCs w:val="24"/>
        </w:rPr>
        <w:t>theories known in the literature</w:t>
      </w:r>
      <w:r w:rsidR="00FD1EF0" w:rsidRPr="002D184F">
        <w:rPr>
          <w:rFonts w:ascii="Times New Roman" w:hAnsi="Times New Roman" w:cs="Times New Roman"/>
          <w:sz w:val="24"/>
          <w:szCs w:val="24"/>
        </w:rPr>
        <w:t>:</w:t>
      </w:r>
    </w:p>
    <w:p w:rsidR="00FD1EF0" w:rsidRPr="00C957C9" w:rsidRDefault="00CE076B" w:rsidP="00CE076B">
      <w:pPr>
        <w:pStyle w:val="ListParagraph"/>
        <w:numPr>
          <w:ilvl w:val="0"/>
          <w:numId w:val="1"/>
        </w:numPr>
        <w:spacing w:after="0"/>
        <w:jc w:val="both"/>
        <w:rPr>
          <w:rFonts w:ascii="Times New Roman" w:hAnsi="Times New Roman" w:cs="Times New Roman"/>
          <w:sz w:val="24"/>
          <w:szCs w:val="24"/>
        </w:rPr>
      </w:pPr>
      <w:r w:rsidRPr="00821BB6">
        <w:rPr>
          <w:rFonts w:ascii="Times New Roman" w:hAnsi="Times New Roman" w:cs="Times New Roman"/>
          <w:i/>
          <w:sz w:val="24"/>
          <w:szCs w:val="24"/>
        </w:rPr>
        <w:t>naturalistic theory of credit</w:t>
      </w:r>
      <w:r w:rsidR="00FD1EF0" w:rsidRPr="00C957C9">
        <w:rPr>
          <w:rFonts w:ascii="Times New Roman" w:hAnsi="Times New Roman" w:cs="Times New Roman"/>
          <w:sz w:val="24"/>
          <w:szCs w:val="24"/>
        </w:rPr>
        <w:t xml:space="preserve">, </w:t>
      </w:r>
      <w:r w:rsidRPr="00CE076B">
        <w:rPr>
          <w:rFonts w:ascii="Times New Roman" w:hAnsi="Times New Roman" w:cs="Times New Roman"/>
          <w:sz w:val="24"/>
          <w:szCs w:val="24"/>
        </w:rPr>
        <w:t>according to which credit is only a means of transferring money from one holder to another, identifying the capital of the loan with the productive capital</w:t>
      </w:r>
      <w:r w:rsidR="00FD1EF0" w:rsidRPr="00C957C9">
        <w:rPr>
          <w:rFonts w:ascii="Times New Roman" w:hAnsi="Times New Roman" w:cs="Times New Roman"/>
          <w:sz w:val="24"/>
          <w:szCs w:val="24"/>
        </w:rPr>
        <w:t>;</w:t>
      </w:r>
    </w:p>
    <w:p w:rsidR="00FD1EF0" w:rsidRPr="002D184F" w:rsidRDefault="00CE076B" w:rsidP="00CE076B">
      <w:pPr>
        <w:pStyle w:val="ListParagraph"/>
        <w:numPr>
          <w:ilvl w:val="0"/>
          <w:numId w:val="1"/>
        </w:numPr>
        <w:spacing w:after="0"/>
        <w:jc w:val="both"/>
        <w:rPr>
          <w:rFonts w:ascii="Times New Roman" w:hAnsi="Times New Roman" w:cs="Times New Roman"/>
          <w:sz w:val="24"/>
          <w:szCs w:val="24"/>
        </w:rPr>
      </w:pPr>
      <w:r w:rsidRPr="00821BB6">
        <w:rPr>
          <w:rFonts w:ascii="Times New Roman" w:hAnsi="Times New Roman" w:cs="Times New Roman"/>
          <w:i/>
          <w:sz w:val="24"/>
          <w:szCs w:val="24"/>
        </w:rPr>
        <w:t>expansionist theory credit</w:t>
      </w:r>
      <w:r w:rsidR="00FD1EF0" w:rsidRPr="001F74DA">
        <w:rPr>
          <w:rFonts w:ascii="Times New Roman" w:hAnsi="Times New Roman" w:cs="Times New Roman"/>
          <w:sz w:val="24"/>
          <w:szCs w:val="24"/>
        </w:rPr>
        <w:t xml:space="preserve">, </w:t>
      </w:r>
      <w:r w:rsidRPr="00CE076B">
        <w:rPr>
          <w:rFonts w:ascii="Times New Roman" w:hAnsi="Times New Roman" w:cs="Times New Roman"/>
          <w:sz w:val="24"/>
          <w:szCs w:val="24"/>
        </w:rPr>
        <w:t>which attributes</w:t>
      </w:r>
      <w:r>
        <w:rPr>
          <w:rFonts w:ascii="Times New Roman" w:hAnsi="Times New Roman" w:cs="Times New Roman"/>
          <w:sz w:val="24"/>
          <w:szCs w:val="24"/>
        </w:rPr>
        <w:t xml:space="preserve"> to the credit </w:t>
      </w:r>
      <w:r w:rsidRPr="00CE076B">
        <w:rPr>
          <w:rFonts w:ascii="Times New Roman" w:hAnsi="Times New Roman" w:cs="Times New Roman"/>
          <w:sz w:val="24"/>
          <w:szCs w:val="24"/>
        </w:rPr>
        <w:t>the role of capital creator and, at the same time, a leading factor in the development of</w:t>
      </w:r>
      <w:r>
        <w:rPr>
          <w:rFonts w:ascii="Times New Roman" w:hAnsi="Times New Roman" w:cs="Times New Roman"/>
          <w:sz w:val="24"/>
          <w:szCs w:val="24"/>
        </w:rPr>
        <w:t xml:space="preserve"> the market economy, this theory</w:t>
      </w:r>
      <w:r w:rsidRPr="00CE076B">
        <w:rPr>
          <w:rFonts w:ascii="Times New Roman" w:hAnsi="Times New Roman" w:cs="Times New Roman"/>
          <w:sz w:val="24"/>
          <w:szCs w:val="24"/>
        </w:rPr>
        <w:t xml:space="preserve"> being abandoned in the last decades because it has been noticed that unlimited money creation is not beneficial but has negative effects for economy such as inflation or bankruptcy </w:t>
      </w:r>
      <w:r>
        <w:rPr>
          <w:rFonts w:ascii="Times New Roman" w:hAnsi="Times New Roman" w:cs="Times New Roman"/>
          <w:sz w:val="24"/>
          <w:szCs w:val="24"/>
        </w:rPr>
        <w:t xml:space="preserve">of </w:t>
      </w:r>
      <w:r w:rsidRPr="00CE076B">
        <w:rPr>
          <w:rFonts w:ascii="Times New Roman" w:hAnsi="Times New Roman" w:cs="Times New Roman"/>
          <w:sz w:val="24"/>
          <w:szCs w:val="24"/>
        </w:rPr>
        <w:t>bank</w:t>
      </w:r>
      <w:r>
        <w:rPr>
          <w:rFonts w:ascii="Times New Roman" w:hAnsi="Times New Roman" w:cs="Times New Roman"/>
          <w:sz w:val="24"/>
          <w:szCs w:val="24"/>
        </w:rPr>
        <w:t>s</w:t>
      </w:r>
      <w:r w:rsidR="00FD1EF0" w:rsidRPr="002D184F">
        <w:rPr>
          <w:rFonts w:ascii="Times New Roman" w:hAnsi="Times New Roman" w:cs="Times New Roman"/>
          <w:sz w:val="24"/>
          <w:szCs w:val="24"/>
        </w:rPr>
        <w:t>.</w:t>
      </w:r>
    </w:p>
    <w:p w:rsidR="00FD1EF0" w:rsidRDefault="003F2F67" w:rsidP="003F2F67">
      <w:pPr>
        <w:pStyle w:val="ListParagraph"/>
        <w:numPr>
          <w:ilvl w:val="0"/>
          <w:numId w:val="1"/>
        </w:numPr>
        <w:spacing w:after="0"/>
        <w:jc w:val="both"/>
        <w:rPr>
          <w:rFonts w:ascii="Times New Roman" w:hAnsi="Times New Roman" w:cs="Times New Roman"/>
          <w:sz w:val="24"/>
          <w:szCs w:val="24"/>
        </w:rPr>
      </w:pPr>
      <w:r w:rsidRPr="00821BB6">
        <w:rPr>
          <w:rFonts w:ascii="Times New Roman" w:hAnsi="Times New Roman" w:cs="Times New Roman"/>
          <w:i/>
          <w:sz w:val="24"/>
          <w:szCs w:val="24"/>
        </w:rPr>
        <w:t>the theory of regulated credit</w:t>
      </w:r>
      <w:r>
        <w:rPr>
          <w:rFonts w:ascii="Times New Roman" w:hAnsi="Times New Roman" w:cs="Times New Roman"/>
          <w:sz w:val="24"/>
          <w:szCs w:val="24"/>
        </w:rPr>
        <w:t xml:space="preserve">, </w:t>
      </w:r>
      <w:r w:rsidRPr="003F2F67">
        <w:rPr>
          <w:rFonts w:ascii="Times New Roman" w:hAnsi="Times New Roman" w:cs="Times New Roman"/>
          <w:sz w:val="24"/>
          <w:szCs w:val="24"/>
        </w:rPr>
        <w:t xml:space="preserve">starts from the idea that in the market economy </w:t>
      </w:r>
      <w:r>
        <w:rPr>
          <w:rFonts w:ascii="Times New Roman" w:hAnsi="Times New Roman" w:cs="Times New Roman"/>
          <w:sz w:val="24"/>
          <w:szCs w:val="24"/>
        </w:rPr>
        <w:t xml:space="preserve">the </w:t>
      </w:r>
      <w:r w:rsidRPr="003F2F67">
        <w:rPr>
          <w:rFonts w:ascii="Times New Roman" w:hAnsi="Times New Roman" w:cs="Times New Roman"/>
          <w:sz w:val="24"/>
          <w:szCs w:val="24"/>
        </w:rPr>
        <w:t>cyclical crises and chronic unemployment could be limited by regulating credit in the sense that it generates an increase in demand for goods in the economy</w:t>
      </w:r>
      <w:r w:rsidR="00FD1EF0">
        <w:rPr>
          <w:rFonts w:ascii="Times New Roman" w:hAnsi="Times New Roman" w:cs="Times New Roman"/>
          <w:sz w:val="24"/>
          <w:szCs w:val="24"/>
        </w:rPr>
        <w:t>.</w:t>
      </w:r>
    </w:p>
    <w:p w:rsidR="00FD1EF0" w:rsidRDefault="00FD1EF0" w:rsidP="00B46513">
      <w:pPr>
        <w:spacing w:after="0"/>
        <w:ind w:firstLine="708"/>
        <w:jc w:val="both"/>
        <w:rPr>
          <w:rFonts w:ascii="Times New Roman" w:hAnsi="Times New Roman" w:cs="Times New Roman"/>
          <w:i/>
          <w:sz w:val="24"/>
          <w:szCs w:val="24"/>
        </w:rPr>
      </w:pPr>
    </w:p>
    <w:p w:rsidR="00656D63" w:rsidRPr="00656D63" w:rsidRDefault="00C50094" w:rsidP="00C50094">
      <w:pPr>
        <w:pStyle w:val="ListParagraph"/>
        <w:numPr>
          <w:ilvl w:val="0"/>
          <w:numId w:val="5"/>
        </w:numPr>
        <w:spacing w:after="0"/>
        <w:jc w:val="both"/>
        <w:rPr>
          <w:rFonts w:ascii="Times New Roman" w:hAnsi="Times New Roman" w:cs="Times New Roman"/>
          <w:b/>
          <w:sz w:val="24"/>
          <w:szCs w:val="24"/>
        </w:rPr>
      </w:pPr>
      <w:r w:rsidRPr="00C50094">
        <w:rPr>
          <w:rFonts w:ascii="Times New Roman" w:hAnsi="Times New Roman" w:cs="Times New Roman"/>
          <w:b/>
          <w:sz w:val="24"/>
          <w:szCs w:val="24"/>
        </w:rPr>
        <w:t>Characteristic risks to banks</w:t>
      </w:r>
    </w:p>
    <w:p w:rsidR="00C866B3" w:rsidRDefault="00C50094" w:rsidP="00C866B3">
      <w:pPr>
        <w:spacing w:after="0" w:line="240" w:lineRule="auto"/>
        <w:ind w:left="141" w:firstLine="426"/>
        <w:jc w:val="both"/>
        <w:rPr>
          <w:rFonts w:ascii="Times New Roman" w:hAnsi="Times New Roman" w:cs="Times New Roman"/>
          <w:sz w:val="24"/>
          <w:szCs w:val="24"/>
        </w:rPr>
      </w:pPr>
      <w:r w:rsidRPr="00C50094">
        <w:rPr>
          <w:rFonts w:ascii="Times New Roman" w:hAnsi="Times New Roman" w:cs="Times New Roman"/>
          <w:sz w:val="24"/>
          <w:szCs w:val="24"/>
        </w:rPr>
        <w:t>Lending can be profitable, but it also involves risks. Profits come from the collection of interest income and commissions from loans. As far as possible, banks and other lenders are trying to ch</w:t>
      </w:r>
      <w:r w:rsidR="00C866B3">
        <w:rPr>
          <w:rFonts w:ascii="Times New Roman" w:hAnsi="Times New Roman" w:cs="Times New Roman"/>
          <w:sz w:val="24"/>
          <w:szCs w:val="24"/>
        </w:rPr>
        <w:t xml:space="preserve">arge borrowers with higher risk, </w:t>
      </w:r>
      <w:r w:rsidRPr="00C50094">
        <w:rPr>
          <w:rFonts w:ascii="Times New Roman" w:hAnsi="Times New Roman" w:cs="Times New Roman"/>
          <w:sz w:val="24"/>
          <w:szCs w:val="24"/>
        </w:rPr>
        <w:t xml:space="preserve">interest rates higher than </w:t>
      </w:r>
      <w:r w:rsidR="00C866B3" w:rsidRPr="00C50094">
        <w:rPr>
          <w:rFonts w:ascii="Times New Roman" w:hAnsi="Times New Roman" w:cs="Times New Roman"/>
          <w:sz w:val="24"/>
          <w:szCs w:val="24"/>
        </w:rPr>
        <w:t xml:space="preserve">borrowers </w:t>
      </w:r>
      <w:r w:rsidR="00C866B3">
        <w:rPr>
          <w:rFonts w:ascii="Times New Roman" w:hAnsi="Times New Roman" w:cs="Times New Roman"/>
          <w:sz w:val="24"/>
          <w:szCs w:val="24"/>
        </w:rPr>
        <w:t xml:space="preserve">with </w:t>
      </w:r>
      <w:r w:rsidRPr="00C50094">
        <w:rPr>
          <w:rFonts w:ascii="Times New Roman" w:hAnsi="Times New Roman" w:cs="Times New Roman"/>
          <w:sz w:val="24"/>
          <w:szCs w:val="24"/>
        </w:rPr>
        <w:t>low-risk. Therefore, creditors have an incentive to take greater risks while waiting for higher earnings.</w:t>
      </w:r>
      <w:r w:rsidR="00C866B3">
        <w:rPr>
          <w:rFonts w:ascii="Times New Roman" w:hAnsi="Times New Roman" w:cs="Times New Roman"/>
          <w:sz w:val="24"/>
          <w:szCs w:val="24"/>
        </w:rPr>
        <w:t xml:space="preserve"> </w:t>
      </w:r>
    </w:p>
    <w:p w:rsidR="00F94501" w:rsidRDefault="00C866B3" w:rsidP="00C866B3">
      <w:pPr>
        <w:spacing w:after="0" w:line="240" w:lineRule="auto"/>
        <w:ind w:left="141" w:firstLine="426"/>
        <w:jc w:val="both"/>
        <w:rPr>
          <w:rFonts w:ascii="Times New Roman" w:hAnsi="Times New Roman" w:cs="Times New Roman"/>
          <w:sz w:val="24"/>
          <w:szCs w:val="24"/>
        </w:rPr>
      </w:pPr>
      <w:r w:rsidRPr="00C866B3">
        <w:rPr>
          <w:rFonts w:ascii="Times New Roman" w:hAnsi="Times New Roman" w:cs="Times New Roman"/>
          <w:sz w:val="24"/>
          <w:szCs w:val="24"/>
        </w:rPr>
        <w:t xml:space="preserve">When we talk about risks, we have to make a difference between the </w:t>
      </w:r>
      <w:r>
        <w:rPr>
          <w:rFonts w:ascii="Times New Roman" w:hAnsi="Times New Roman" w:cs="Times New Roman"/>
          <w:sz w:val="24"/>
          <w:szCs w:val="24"/>
        </w:rPr>
        <w:t xml:space="preserve">risks in general and the risks to </w:t>
      </w:r>
      <w:r w:rsidRPr="00C866B3">
        <w:rPr>
          <w:rFonts w:ascii="Times New Roman" w:hAnsi="Times New Roman" w:cs="Times New Roman"/>
          <w:sz w:val="24"/>
          <w:szCs w:val="24"/>
        </w:rPr>
        <w:t xml:space="preserve">banks. Among the typical risks banks are </w:t>
      </w:r>
      <w:r w:rsidR="00833993">
        <w:t>[</w:t>
      </w:r>
      <w:r w:rsidR="00833993" w:rsidRPr="00841644">
        <w:rPr>
          <w:rFonts w:ascii="Times New Roman" w:hAnsi="Times New Roman" w:cs="Times New Roman"/>
        </w:rPr>
        <w:t>Trenca</w:t>
      </w:r>
      <w:r w:rsidR="00833993">
        <w:rPr>
          <w:rFonts w:ascii="Times New Roman" w:hAnsi="Times New Roman" w:cs="Times New Roman"/>
        </w:rPr>
        <w:t>,</w:t>
      </w:r>
      <w:r w:rsidR="00833993" w:rsidRPr="00841644">
        <w:rPr>
          <w:rFonts w:ascii="Times New Roman" w:hAnsi="Times New Roman" w:cs="Times New Roman"/>
        </w:rPr>
        <w:t xml:space="preserve"> I. I</w:t>
      </w:r>
      <w:r w:rsidR="00833993">
        <w:rPr>
          <w:rFonts w:ascii="Times New Roman" w:hAnsi="Times New Roman" w:cs="Times New Roman"/>
        </w:rPr>
        <w:t>.</w:t>
      </w:r>
      <w:r w:rsidR="00833993" w:rsidRPr="00841644">
        <w:rPr>
          <w:rFonts w:ascii="Times New Roman" w:hAnsi="Times New Roman" w:cs="Times New Roman"/>
        </w:rPr>
        <w:t>, Bolocan</w:t>
      </w:r>
      <w:r w:rsidR="00833993">
        <w:rPr>
          <w:rFonts w:ascii="Times New Roman" w:hAnsi="Times New Roman" w:cs="Times New Roman"/>
        </w:rPr>
        <w:t>,</w:t>
      </w:r>
      <w:r w:rsidR="00833993" w:rsidRPr="00841644">
        <w:rPr>
          <w:rFonts w:ascii="Times New Roman" w:hAnsi="Times New Roman" w:cs="Times New Roman"/>
        </w:rPr>
        <w:t xml:space="preserve"> M</w:t>
      </w:r>
      <w:r w:rsidR="00833993">
        <w:rPr>
          <w:rFonts w:ascii="Times New Roman" w:hAnsi="Times New Roman" w:cs="Times New Roman"/>
        </w:rPr>
        <w:t>.</w:t>
      </w:r>
      <w:r w:rsidR="00833993" w:rsidRPr="00841644">
        <w:rPr>
          <w:rFonts w:ascii="Times New Roman" w:hAnsi="Times New Roman" w:cs="Times New Roman"/>
        </w:rPr>
        <w:t>-D</w:t>
      </w:r>
      <w:r w:rsidR="00833993">
        <w:rPr>
          <w:rFonts w:ascii="Times New Roman" w:hAnsi="Times New Roman" w:cs="Times New Roman"/>
        </w:rPr>
        <w:t>.</w:t>
      </w:r>
      <w:r w:rsidR="00833993" w:rsidRPr="00841644">
        <w:rPr>
          <w:rFonts w:ascii="Times New Roman" w:hAnsi="Times New Roman" w:cs="Times New Roman"/>
        </w:rPr>
        <w:t>, 2011, p. 50</w:t>
      </w:r>
      <w:r w:rsidR="00833993">
        <w:t>]</w:t>
      </w:r>
      <w:r w:rsidR="00F94501">
        <w:rPr>
          <w:rFonts w:ascii="Times New Roman" w:hAnsi="Times New Roman" w:cs="Times New Roman"/>
          <w:sz w:val="24"/>
          <w:szCs w:val="24"/>
        </w:rPr>
        <w:t>:</w:t>
      </w:r>
    </w:p>
    <w:p w:rsidR="00F94501" w:rsidRDefault="00C866B3" w:rsidP="00C866B3">
      <w:pPr>
        <w:pStyle w:val="ListParagraph"/>
        <w:numPr>
          <w:ilvl w:val="0"/>
          <w:numId w:val="1"/>
        </w:numPr>
        <w:spacing w:after="0"/>
        <w:jc w:val="both"/>
        <w:rPr>
          <w:rFonts w:ascii="Times New Roman" w:hAnsi="Times New Roman" w:cs="Times New Roman"/>
          <w:sz w:val="24"/>
          <w:szCs w:val="24"/>
        </w:rPr>
      </w:pPr>
      <w:r w:rsidRPr="00C866B3">
        <w:rPr>
          <w:rFonts w:ascii="Times New Roman" w:hAnsi="Times New Roman" w:cs="Times New Roman"/>
          <w:sz w:val="24"/>
          <w:szCs w:val="24"/>
        </w:rPr>
        <w:t>financial risks (interest rate risk, liquidity risk, risk on variable income securities);</w:t>
      </w:r>
    </w:p>
    <w:p w:rsidR="00F94501" w:rsidRPr="00EC0FF8" w:rsidRDefault="001E41C1" w:rsidP="001E41C1">
      <w:pPr>
        <w:pStyle w:val="ListParagraph"/>
        <w:numPr>
          <w:ilvl w:val="0"/>
          <w:numId w:val="1"/>
        </w:numPr>
        <w:spacing w:after="0"/>
        <w:jc w:val="both"/>
        <w:rPr>
          <w:rFonts w:ascii="Times New Roman" w:hAnsi="Times New Roman" w:cs="Times New Roman"/>
          <w:sz w:val="24"/>
          <w:szCs w:val="24"/>
        </w:rPr>
      </w:pPr>
      <w:r w:rsidRPr="001E41C1">
        <w:rPr>
          <w:rFonts w:ascii="Times New Roman" w:hAnsi="Times New Roman" w:cs="Times New Roman"/>
          <w:sz w:val="24"/>
          <w:szCs w:val="24"/>
        </w:rPr>
        <w:t>signature or counterparty risks (inter-bank risk, country risk, customer risk).</w:t>
      </w:r>
    </w:p>
    <w:p w:rsidR="00391491" w:rsidRDefault="001E41C1" w:rsidP="00391491">
      <w:pPr>
        <w:spacing w:after="0" w:line="240" w:lineRule="auto"/>
        <w:ind w:left="141" w:firstLine="360"/>
        <w:jc w:val="both"/>
        <w:rPr>
          <w:rFonts w:ascii="Times New Roman" w:hAnsi="Times New Roman" w:cs="Times New Roman"/>
          <w:sz w:val="24"/>
          <w:szCs w:val="24"/>
        </w:rPr>
      </w:pPr>
      <w:r w:rsidRPr="001E41C1">
        <w:rPr>
          <w:rFonts w:ascii="Times New Roman" w:hAnsi="Times New Roman" w:cs="Times New Roman"/>
          <w:sz w:val="24"/>
          <w:szCs w:val="24"/>
        </w:rPr>
        <w:t>As Caouette et al. (1998)</w:t>
      </w:r>
      <w:r>
        <w:rPr>
          <w:rFonts w:ascii="Times New Roman" w:hAnsi="Times New Roman" w:cs="Times New Roman"/>
          <w:sz w:val="24"/>
          <w:szCs w:val="24"/>
        </w:rPr>
        <w:t xml:space="preserve"> mentioned</w:t>
      </w:r>
      <w:r w:rsidRPr="001E41C1">
        <w:rPr>
          <w:rFonts w:ascii="Times New Roman" w:hAnsi="Times New Roman" w:cs="Times New Roman"/>
          <w:sz w:val="24"/>
          <w:szCs w:val="24"/>
        </w:rPr>
        <w:t>, the oldest form of risk on financial markets is credit risk. It would ha</w:t>
      </w:r>
      <w:r>
        <w:rPr>
          <w:rFonts w:ascii="Times New Roman" w:hAnsi="Times New Roman" w:cs="Times New Roman"/>
          <w:sz w:val="24"/>
          <w:szCs w:val="24"/>
        </w:rPr>
        <w:t>ve existed at least since 1800 b.</w:t>
      </w:r>
      <w:r w:rsidRPr="001E41C1">
        <w:rPr>
          <w:rFonts w:ascii="Times New Roman" w:hAnsi="Times New Roman" w:cs="Times New Roman"/>
          <w:sz w:val="24"/>
          <w:szCs w:val="24"/>
        </w:rPr>
        <w:t xml:space="preserve">C. because this type of risk is as old as the lending </w:t>
      </w:r>
      <w:r>
        <w:rPr>
          <w:rFonts w:ascii="Times New Roman" w:hAnsi="Times New Roman" w:cs="Times New Roman"/>
          <w:sz w:val="24"/>
          <w:szCs w:val="24"/>
        </w:rPr>
        <w:t xml:space="preserve">activity </w:t>
      </w:r>
      <w:r w:rsidRPr="001E41C1">
        <w:rPr>
          <w:rFonts w:ascii="Times New Roman" w:hAnsi="Times New Roman" w:cs="Times New Roman"/>
          <w:sz w:val="24"/>
          <w:szCs w:val="24"/>
        </w:rPr>
        <w:t>itself. Since then, the concept has evolved a lot and credit risk management has become the main concern of traditional banks. However, lately they have been forced to turn to banking relationships, being more focused on customer relationship than on loan returns. This has led to poor</w:t>
      </w:r>
      <w:r w:rsidRPr="001E41C1">
        <w:t xml:space="preserve"> </w:t>
      </w:r>
      <w:r w:rsidRPr="001E41C1">
        <w:rPr>
          <w:rFonts w:ascii="Times New Roman" w:hAnsi="Times New Roman" w:cs="Times New Roman"/>
          <w:sz w:val="24"/>
          <w:szCs w:val="24"/>
        </w:rPr>
        <w:t>results in terms of credit risk management, and if we look at the history of financial institutions,</w:t>
      </w:r>
      <w:r w:rsidRPr="001E41C1">
        <w:t xml:space="preserve"> </w:t>
      </w:r>
      <w:r>
        <w:rPr>
          <w:rFonts w:ascii="Times New Roman" w:hAnsi="Times New Roman" w:cs="Times New Roman"/>
          <w:sz w:val="24"/>
          <w:szCs w:val="24"/>
        </w:rPr>
        <w:t>it can be observed</w:t>
      </w:r>
      <w:r w:rsidRPr="001E41C1">
        <w:rPr>
          <w:rFonts w:ascii="Times New Roman" w:hAnsi="Times New Roman" w:cs="Times New Roman"/>
          <w:sz w:val="24"/>
          <w:szCs w:val="24"/>
        </w:rPr>
        <w:t xml:space="preserve"> that credit risk was the cause of the biggest bank failures.</w:t>
      </w:r>
      <w:r>
        <w:rPr>
          <w:rFonts w:ascii="Times New Roman" w:hAnsi="Times New Roman" w:cs="Times New Roman"/>
          <w:sz w:val="24"/>
          <w:szCs w:val="24"/>
        </w:rPr>
        <w:t xml:space="preserve"> </w:t>
      </w:r>
      <w:r w:rsidR="00391491">
        <w:t>[</w:t>
      </w:r>
      <w:r w:rsidR="00391491" w:rsidRPr="00F534B4">
        <w:rPr>
          <w:rFonts w:ascii="Times New Roman" w:hAnsi="Times New Roman" w:cs="Times New Roman"/>
        </w:rPr>
        <w:t>Pichereau L., 2016,</w:t>
      </w:r>
      <w:r w:rsidR="00391491">
        <w:rPr>
          <w:rFonts w:ascii="Times New Roman" w:hAnsi="Times New Roman" w:cs="Times New Roman"/>
        </w:rPr>
        <w:t xml:space="preserve"> p.3</w:t>
      </w:r>
      <w:r w:rsidR="00391491">
        <w:t>].</w:t>
      </w:r>
    </w:p>
    <w:p w:rsidR="00C61A13" w:rsidRDefault="00050A51" w:rsidP="00547E92">
      <w:pPr>
        <w:spacing w:after="0" w:line="240" w:lineRule="auto"/>
        <w:ind w:left="141" w:firstLine="567"/>
        <w:jc w:val="both"/>
        <w:rPr>
          <w:rFonts w:ascii="Times New Roman" w:hAnsi="Times New Roman" w:cs="Times New Roman"/>
          <w:sz w:val="24"/>
          <w:szCs w:val="24"/>
        </w:rPr>
      </w:pPr>
      <w:r w:rsidRPr="00050A51">
        <w:rPr>
          <w:rFonts w:ascii="Times New Roman" w:hAnsi="Times New Roman" w:cs="Times New Roman"/>
          <w:sz w:val="24"/>
          <w:szCs w:val="24"/>
        </w:rPr>
        <w:lastRenderedPageBreak/>
        <w:t xml:space="preserve">Credit risk is </w:t>
      </w:r>
      <w:r>
        <w:rPr>
          <w:rFonts w:ascii="Times New Roman" w:hAnsi="Times New Roman" w:cs="Times New Roman"/>
          <w:sz w:val="24"/>
          <w:szCs w:val="24"/>
        </w:rPr>
        <w:t xml:space="preserve">represented by </w:t>
      </w:r>
      <w:r w:rsidRPr="00050A51">
        <w:rPr>
          <w:rFonts w:ascii="Times New Roman" w:hAnsi="Times New Roman" w:cs="Times New Roman"/>
          <w:sz w:val="24"/>
          <w:szCs w:val="24"/>
        </w:rPr>
        <w:t xml:space="preserve">the </w:t>
      </w:r>
      <w:r w:rsidR="00704867" w:rsidRPr="00704867">
        <w:rPr>
          <w:rFonts w:ascii="Times New Roman" w:hAnsi="Times New Roman" w:cs="Times New Roman"/>
          <w:sz w:val="24"/>
          <w:szCs w:val="24"/>
        </w:rPr>
        <w:t xml:space="preserve">risk of recording losses </w:t>
      </w:r>
      <w:r w:rsidRPr="00050A51">
        <w:rPr>
          <w:rFonts w:ascii="Times New Roman" w:hAnsi="Times New Roman" w:cs="Times New Roman"/>
          <w:sz w:val="24"/>
          <w:szCs w:val="24"/>
        </w:rPr>
        <w:t xml:space="preserve">or </w:t>
      </w:r>
      <w:r w:rsidR="00704867" w:rsidRPr="00704867">
        <w:rPr>
          <w:rFonts w:ascii="Times New Roman" w:hAnsi="Times New Roman" w:cs="Times New Roman"/>
          <w:sz w:val="24"/>
          <w:szCs w:val="24"/>
        </w:rPr>
        <w:t>the risk of not realizing the estimated profits,</w:t>
      </w:r>
      <w:r w:rsidR="00704867">
        <w:rPr>
          <w:rFonts w:ascii="Times New Roman" w:hAnsi="Times New Roman" w:cs="Times New Roman"/>
          <w:sz w:val="24"/>
          <w:szCs w:val="24"/>
        </w:rPr>
        <w:t xml:space="preserve"> </w:t>
      </w:r>
      <w:r w:rsidRPr="00050A51">
        <w:rPr>
          <w:rFonts w:ascii="Times New Roman" w:hAnsi="Times New Roman" w:cs="Times New Roman"/>
          <w:sz w:val="24"/>
          <w:szCs w:val="24"/>
        </w:rPr>
        <w:t xml:space="preserve">as a result of the counterparty's non-performance of contractual obligations. This type of risk refers to all market players, whether they are banks or random </w:t>
      </w:r>
      <w:r w:rsidR="00F95BE5">
        <w:rPr>
          <w:rFonts w:ascii="Times New Roman" w:hAnsi="Times New Roman" w:cs="Times New Roman"/>
          <w:sz w:val="24"/>
          <w:szCs w:val="24"/>
        </w:rPr>
        <w:t xml:space="preserve">people who </w:t>
      </w:r>
      <w:r w:rsidR="002323AF">
        <w:rPr>
          <w:rFonts w:ascii="Times New Roman" w:hAnsi="Times New Roman" w:cs="Times New Roman"/>
          <w:sz w:val="24"/>
          <w:szCs w:val="24"/>
        </w:rPr>
        <w:t>borrowed and/</w:t>
      </w:r>
      <w:r w:rsidR="00F95BE5" w:rsidRPr="00F95BE5">
        <w:rPr>
          <w:rFonts w:ascii="Times New Roman" w:hAnsi="Times New Roman" w:cs="Times New Roman"/>
          <w:sz w:val="24"/>
          <w:szCs w:val="24"/>
        </w:rPr>
        <w:t>or lent</w:t>
      </w:r>
      <w:r w:rsidRPr="00050A51">
        <w:rPr>
          <w:rFonts w:ascii="Times New Roman" w:hAnsi="Times New Roman" w:cs="Times New Roman"/>
          <w:sz w:val="24"/>
          <w:szCs w:val="24"/>
        </w:rPr>
        <w:t>. In other words, credit risk occurs whenever a person wants to get a product or service without paying for it immediately. Therefore, the danger is the failure to make any promised interest and / or principal payments.</w:t>
      </w:r>
      <w:r w:rsidR="00C61A13">
        <w:rPr>
          <w:rFonts w:ascii="Times New Roman" w:hAnsi="Times New Roman" w:cs="Times New Roman"/>
          <w:sz w:val="24"/>
          <w:szCs w:val="24"/>
        </w:rPr>
        <w:t xml:space="preserve"> </w:t>
      </w:r>
    </w:p>
    <w:p w:rsidR="00391491" w:rsidRDefault="000D7C48" w:rsidP="00547E92">
      <w:pPr>
        <w:spacing w:after="0" w:line="240" w:lineRule="auto"/>
        <w:ind w:left="141" w:firstLine="567"/>
        <w:jc w:val="both"/>
        <w:rPr>
          <w:rFonts w:ascii="Times New Roman" w:hAnsi="Times New Roman" w:cs="Times New Roman"/>
          <w:sz w:val="24"/>
          <w:szCs w:val="24"/>
        </w:rPr>
      </w:pPr>
      <w:r w:rsidRPr="000D7C48">
        <w:rPr>
          <w:rFonts w:ascii="Times New Roman" w:hAnsi="Times New Roman" w:cs="Times New Roman"/>
          <w:sz w:val="24"/>
          <w:szCs w:val="24"/>
        </w:rPr>
        <w:t>In addition to credit risk, country risk is associated with the economic, social and political conditions of the debtor's country of origin. A</w:t>
      </w:r>
      <w:r>
        <w:rPr>
          <w:rFonts w:ascii="Times New Roman" w:hAnsi="Times New Roman" w:cs="Times New Roman"/>
          <w:sz w:val="24"/>
          <w:szCs w:val="24"/>
        </w:rPr>
        <w:t>a a</w:t>
      </w:r>
      <w:r w:rsidRPr="000D7C48">
        <w:rPr>
          <w:rFonts w:ascii="Times New Roman" w:hAnsi="Times New Roman" w:cs="Times New Roman"/>
          <w:sz w:val="24"/>
          <w:szCs w:val="24"/>
        </w:rPr>
        <w:t xml:space="preserve"> component of country risk, the transfer risk arises if the debtor's obligation is not expressed in its local currency.</w:t>
      </w:r>
      <w:r w:rsidR="00391491">
        <w:rPr>
          <w:rFonts w:ascii="Times New Roman" w:hAnsi="Times New Roman" w:cs="Times New Roman"/>
          <w:sz w:val="24"/>
          <w:szCs w:val="24"/>
        </w:rPr>
        <w:t xml:space="preserve"> </w:t>
      </w:r>
      <w:r w:rsidR="00391491">
        <w:t>[</w:t>
      </w:r>
      <w:r w:rsidR="00391491" w:rsidRPr="00F534B4">
        <w:rPr>
          <w:rFonts w:ascii="Times New Roman" w:hAnsi="Times New Roman" w:cs="Times New Roman"/>
          <w:sz w:val="20"/>
          <w:szCs w:val="20"/>
        </w:rPr>
        <w:t>Mihai I., Velicu I.C., 2008, pp. 14-15</w:t>
      </w:r>
      <w:r w:rsidR="00391491">
        <w:t>]</w:t>
      </w:r>
    </w:p>
    <w:p w:rsidR="00A7728F" w:rsidRDefault="00A7728F" w:rsidP="00547E92">
      <w:pPr>
        <w:spacing w:after="0" w:line="240" w:lineRule="auto"/>
        <w:ind w:left="141" w:firstLine="567"/>
        <w:jc w:val="both"/>
        <w:rPr>
          <w:rFonts w:ascii="Times New Roman" w:hAnsi="Times New Roman" w:cs="Times New Roman"/>
          <w:sz w:val="24"/>
          <w:szCs w:val="24"/>
        </w:rPr>
      </w:pPr>
      <w:r w:rsidRPr="00A7728F">
        <w:rPr>
          <w:rFonts w:ascii="Times New Roman" w:hAnsi="Times New Roman" w:cs="Times New Roman"/>
          <w:sz w:val="24"/>
          <w:szCs w:val="24"/>
        </w:rPr>
        <w:t xml:space="preserve">Market risk is the result of changes in market variables such as exchange rates or interest rates. </w:t>
      </w:r>
      <w:r w:rsidR="00CC6915" w:rsidRPr="00CC6915">
        <w:rPr>
          <w:rFonts w:ascii="Times New Roman" w:hAnsi="Times New Roman" w:cs="Times New Roman"/>
          <w:sz w:val="24"/>
          <w:szCs w:val="24"/>
        </w:rPr>
        <w:t xml:space="preserve">In the specialized literature is defined </w:t>
      </w:r>
      <w:r w:rsidRPr="00A7728F">
        <w:rPr>
          <w:rFonts w:ascii="Times New Roman" w:hAnsi="Times New Roman" w:cs="Times New Roman"/>
          <w:sz w:val="24"/>
          <w:szCs w:val="24"/>
        </w:rPr>
        <w:t xml:space="preserve">[Gangreddiwar Aboli, 2015] </w:t>
      </w:r>
      <w:r w:rsidR="00CC6915">
        <w:rPr>
          <w:rFonts w:ascii="Times New Roman" w:hAnsi="Times New Roman" w:cs="Times New Roman"/>
          <w:sz w:val="24"/>
          <w:szCs w:val="24"/>
        </w:rPr>
        <w:t xml:space="preserve">the </w:t>
      </w:r>
      <w:r w:rsidRPr="00A7728F">
        <w:rPr>
          <w:rFonts w:ascii="Times New Roman" w:hAnsi="Times New Roman" w:cs="Times New Roman"/>
          <w:sz w:val="24"/>
          <w:szCs w:val="24"/>
        </w:rPr>
        <w:t xml:space="preserve">market risk as the risk of losses </w:t>
      </w:r>
      <w:r w:rsidR="00CC6915" w:rsidRPr="00CC6915">
        <w:rPr>
          <w:rFonts w:ascii="Times New Roman" w:hAnsi="Times New Roman" w:cs="Times New Roman"/>
          <w:sz w:val="24"/>
          <w:szCs w:val="24"/>
        </w:rPr>
        <w:t xml:space="preserve">of the bank's trading portfolio </w:t>
      </w:r>
      <w:r w:rsidRPr="00A7728F">
        <w:rPr>
          <w:rFonts w:ascii="Times New Roman" w:hAnsi="Times New Roman" w:cs="Times New Roman"/>
          <w:sz w:val="24"/>
          <w:szCs w:val="24"/>
        </w:rPr>
        <w:t xml:space="preserve">due to changes in stock prices, interest rates, credit rates, foreign exchange rates, </w:t>
      </w:r>
      <w:r w:rsidR="00CC6915" w:rsidRPr="00CC6915">
        <w:rPr>
          <w:rFonts w:ascii="Times New Roman" w:hAnsi="Times New Roman" w:cs="Times New Roman"/>
          <w:sz w:val="24"/>
          <w:szCs w:val="24"/>
        </w:rPr>
        <w:t xml:space="preserve">raw materials </w:t>
      </w:r>
      <w:r w:rsidRPr="00A7728F">
        <w:rPr>
          <w:rFonts w:ascii="Times New Roman" w:hAnsi="Times New Roman" w:cs="Times New Roman"/>
          <w:sz w:val="24"/>
          <w:szCs w:val="24"/>
        </w:rPr>
        <w:t>prices, and other indicators whose values are established in a public market. Market risk is predominant among banks</w:t>
      </w:r>
      <w:r w:rsidR="00C0442C" w:rsidRPr="00C0442C">
        <w:t xml:space="preserve"> </w:t>
      </w:r>
      <w:r w:rsidR="00C0442C">
        <w:rPr>
          <w:rFonts w:ascii="Times New Roman" w:hAnsi="Times New Roman" w:cs="Times New Roman"/>
          <w:sz w:val="24"/>
          <w:szCs w:val="24"/>
        </w:rPr>
        <w:t>from banking sector,</w:t>
      </w:r>
      <w:r w:rsidRPr="00A7728F">
        <w:rPr>
          <w:rFonts w:ascii="Times New Roman" w:hAnsi="Times New Roman" w:cs="Times New Roman"/>
          <w:sz w:val="24"/>
          <w:szCs w:val="24"/>
        </w:rPr>
        <w:t xml:space="preserve"> as they are active in capital markets.</w:t>
      </w:r>
    </w:p>
    <w:p w:rsidR="00C0442C" w:rsidRDefault="00C0442C" w:rsidP="00547E92">
      <w:pPr>
        <w:spacing w:after="0" w:line="240" w:lineRule="auto"/>
        <w:ind w:left="141" w:firstLine="427"/>
        <w:jc w:val="both"/>
        <w:rPr>
          <w:rFonts w:ascii="Times New Roman" w:hAnsi="Times New Roman" w:cs="Times New Roman"/>
          <w:sz w:val="24"/>
          <w:szCs w:val="24"/>
        </w:rPr>
      </w:pPr>
      <w:r w:rsidRPr="00C0442C">
        <w:rPr>
          <w:rFonts w:ascii="Times New Roman" w:hAnsi="Times New Roman" w:cs="Times New Roman"/>
          <w:sz w:val="24"/>
          <w:szCs w:val="24"/>
        </w:rPr>
        <w:t xml:space="preserve">Systemic risk and moral hazard are two types of risks faced by banks, but they do not cause losses quite often. But if </w:t>
      </w:r>
      <w:r>
        <w:rPr>
          <w:rFonts w:ascii="Times New Roman" w:hAnsi="Times New Roman" w:cs="Times New Roman"/>
          <w:sz w:val="24"/>
          <w:szCs w:val="24"/>
        </w:rPr>
        <w:t>its cause losses, these</w:t>
      </w:r>
      <w:r w:rsidRPr="00C0442C">
        <w:rPr>
          <w:rFonts w:ascii="Times New Roman" w:hAnsi="Times New Roman" w:cs="Times New Roman"/>
          <w:sz w:val="24"/>
          <w:szCs w:val="24"/>
        </w:rPr>
        <w:t xml:space="preserve"> can cause</w:t>
      </w:r>
      <w:r w:rsidR="00856E3A">
        <w:rPr>
          <w:rFonts w:ascii="Times New Roman" w:hAnsi="Times New Roman" w:cs="Times New Roman"/>
          <w:sz w:val="24"/>
          <w:szCs w:val="24"/>
        </w:rPr>
        <w:t xml:space="preserve"> </w:t>
      </w:r>
      <w:r w:rsidR="00856E3A" w:rsidRPr="00856E3A">
        <w:rPr>
          <w:rFonts w:ascii="Times New Roman" w:hAnsi="Times New Roman" w:cs="Times New Roman"/>
          <w:sz w:val="24"/>
          <w:szCs w:val="24"/>
        </w:rPr>
        <w:t>the decline of the entire financial system</w:t>
      </w:r>
      <w:r w:rsidRPr="00C0442C">
        <w:rPr>
          <w:rFonts w:ascii="Times New Roman" w:hAnsi="Times New Roman" w:cs="Times New Roman"/>
          <w:sz w:val="24"/>
          <w:szCs w:val="24"/>
        </w:rPr>
        <w:t xml:space="preserve"> </w:t>
      </w:r>
      <w:r w:rsidR="00856E3A">
        <w:rPr>
          <w:rFonts w:ascii="Times New Roman" w:hAnsi="Times New Roman" w:cs="Times New Roman"/>
          <w:sz w:val="24"/>
          <w:szCs w:val="24"/>
        </w:rPr>
        <w:t>from</w:t>
      </w:r>
      <w:r w:rsidRPr="00C0442C">
        <w:rPr>
          <w:rFonts w:ascii="Times New Roman" w:hAnsi="Times New Roman" w:cs="Times New Roman"/>
          <w:sz w:val="24"/>
          <w:szCs w:val="24"/>
        </w:rPr>
        <w:t xml:space="preserve"> a country or</w:t>
      </w:r>
      <w:r w:rsidR="00856E3A">
        <w:rPr>
          <w:rFonts w:ascii="Times New Roman" w:hAnsi="Times New Roman" w:cs="Times New Roman"/>
          <w:sz w:val="24"/>
          <w:szCs w:val="24"/>
        </w:rPr>
        <w:t xml:space="preserve"> globally. We can note that the</w:t>
      </w:r>
      <w:r w:rsidRPr="00C0442C">
        <w:rPr>
          <w:rFonts w:ascii="Times New Roman" w:hAnsi="Times New Roman" w:cs="Times New Roman"/>
          <w:sz w:val="24"/>
          <w:szCs w:val="24"/>
        </w:rPr>
        <w:t xml:space="preserve"> global crisis </w:t>
      </w:r>
      <w:r w:rsidR="00856E3A">
        <w:rPr>
          <w:rFonts w:ascii="Times New Roman" w:hAnsi="Times New Roman" w:cs="Times New Roman"/>
          <w:sz w:val="24"/>
          <w:szCs w:val="24"/>
        </w:rPr>
        <w:t xml:space="preserve">from 2008 </w:t>
      </w:r>
      <w:r w:rsidRPr="00C0442C">
        <w:rPr>
          <w:rFonts w:ascii="Times New Roman" w:hAnsi="Times New Roman" w:cs="Times New Roman"/>
          <w:sz w:val="24"/>
          <w:szCs w:val="24"/>
        </w:rPr>
        <w:t>is the best example of loss for all financial institutions that occurred due to systemic risk. Systemic risk is the risk that does not affect a single bank or financial institution but affects the entire industry. Systemic risks are associated with cascade failures where the failure of a large entity can cause the failure of everyone else in the industry. The moral hazard is a risk that occurs when a large bank or large financial institution takes risks, knowing that someone else will have to deal with these risks.</w:t>
      </w:r>
    </w:p>
    <w:p w:rsidR="00A61C8C" w:rsidRDefault="00A61C8C" w:rsidP="00154B73">
      <w:pPr>
        <w:spacing w:after="0"/>
        <w:ind w:firstLine="568"/>
        <w:jc w:val="both"/>
        <w:rPr>
          <w:rFonts w:ascii="Times New Roman" w:hAnsi="Times New Roman" w:cs="Times New Roman"/>
          <w:sz w:val="24"/>
          <w:szCs w:val="24"/>
        </w:rPr>
      </w:pPr>
      <w:r w:rsidRPr="00A61C8C">
        <w:rPr>
          <w:rFonts w:ascii="Times New Roman" w:hAnsi="Times New Roman" w:cs="Times New Roman"/>
          <w:sz w:val="24"/>
          <w:szCs w:val="24"/>
        </w:rPr>
        <w:t xml:space="preserve">In the </w:t>
      </w:r>
      <w:r>
        <w:rPr>
          <w:rFonts w:ascii="Times New Roman" w:hAnsi="Times New Roman" w:cs="Times New Roman"/>
          <w:sz w:val="24"/>
          <w:szCs w:val="24"/>
        </w:rPr>
        <w:t xml:space="preserve">paper </w:t>
      </w:r>
      <w:r w:rsidRPr="00A61C8C">
        <w:rPr>
          <w:rFonts w:ascii="Times New Roman" w:hAnsi="Times New Roman" w:cs="Times New Roman"/>
          <w:i/>
          <w:sz w:val="24"/>
          <w:szCs w:val="24"/>
        </w:rPr>
        <w:t>Risks in the Banking Industry Faced by Every Bank</w:t>
      </w:r>
      <w:r w:rsidRPr="00A61C8C">
        <w:rPr>
          <w:rFonts w:ascii="Times New Roman" w:hAnsi="Times New Roman" w:cs="Times New Roman"/>
          <w:sz w:val="24"/>
          <w:szCs w:val="24"/>
        </w:rPr>
        <w:t xml:space="preserve"> in 2015, Gangreddiwar presented the moral hazard from the perspective of economist Paul Krugman, who described it as </w:t>
      </w:r>
      <w:r w:rsidRPr="00A61C8C">
        <w:rPr>
          <w:rFonts w:ascii="Times New Roman" w:hAnsi="Times New Roman" w:cs="Times New Roman"/>
          <w:i/>
          <w:sz w:val="24"/>
          <w:szCs w:val="24"/>
        </w:rPr>
        <w:t xml:space="preserve">"any situation where a person makes a decision as to how much to risk in while someone else </w:t>
      </w:r>
      <w:r>
        <w:rPr>
          <w:rFonts w:ascii="Times New Roman" w:hAnsi="Times New Roman" w:cs="Times New Roman"/>
          <w:i/>
          <w:sz w:val="24"/>
          <w:szCs w:val="24"/>
        </w:rPr>
        <w:t xml:space="preserve">supports </w:t>
      </w:r>
      <w:r w:rsidRPr="00A61C8C">
        <w:rPr>
          <w:rFonts w:ascii="Times New Roman" w:hAnsi="Times New Roman" w:cs="Times New Roman"/>
          <w:i/>
          <w:sz w:val="24"/>
          <w:szCs w:val="24"/>
        </w:rPr>
        <w:t>the cost if things go wrong. "</w:t>
      </w:r>
    </w:p>
    <w:p w:rsidR="00154B73" w:rsidRDefault="00CB3BD6" w:rsidP="00154B73">
      <w:pPr>
        <w:spacing w:after="0"/>
        <w:ind w:firstLine="568"/>
        <w:jc w:val="both"/>
        <w:rPr>
          <w:rFonts w:ascii="Times New Roman" w:hAnsi="Times New Roman" w:cs="Times New Roman"/>
          <w:sz w:val="24"/>
          <w:szCs w:val="24"/>
        </w:rPr>
      </w:pPr>
      <w:r w:rsidRPr="00CB3BD6">
        <w:rPr>
          <w:rFonts w:ascii="Times New Roman" w:hAnsi="Times New Roman" w:cs="Times New Roman"/>
          <w:sz w:val="24"/>
          <w:szCs w:val="24"/>
        </w:rPr>
        <w:t>The decision-making process on the possibility of granting credits is based on knowledge and customer information. Credit score means the customer's solvency analysis. It is the result of a statistical model that, based on the information on the borrower, allows to distinguish between "good" and "bad" credits and to provide an estimate of the probability of default</w:t>
      </w:r>
      <w:r w:rsidR="00154B73">
        <w:rPr>
          <w:rFonts w:ascii="Times New Roman" w:hAnsi="Times New Roman" w:cs="Times New Roman"/>
          <w:sz w:val="24"/>
          <w:szCs w:val="24"/>
        </w:rPr>
        <w:t xml:space="preserve"> </w:t>
      </w:r>
      <w:r w:rsidR="00767AA5">
        <w:t>[</w:t>
      </w:r>
      <w:r w:rsidR="00767AA5" w:rsidRPr="00EF6A3E">
        <w:rPr>
          <w:rFonts w:ascii="Times New Roman" w:hAnsi="Times New Roman" w:cs="Times New Roman"/>
        </w:rPr>
        <w:t>Deloitte, 2016</w:t>
      </w:r>
      <w:r w:rsidR="00767AA5">
        <w:rPr>
          <w:rFonts w:ascii="Times New Roman" w:hAnsi="Times New Roman" w:cs="Times New Roman"/>
        </w:rPr>
        <w:t>, p.5</w:t>
      </w:r>
      <w:r w:rsidR="00767AA5">
        <w:t>]</w:t>
      </w:r>
      <w:r w:rsidR="00767AA5">
        <w:rPr>
          <w:rFonts w:ascii="Times New Roman" w:hAnsi="Times New Roman" w:cs="Times New Roman"/>
          <w:sz w:val="24"/>
          <w:szCs w:val="24"/>
        </w:rPr>
        <w:t xml:space="preserve"> </w:t>
      </w:r>
      <w:r w:rsidR="00DE0E54" w:rsidRPr="00DE0E54">
        <w:rPr>
          <w:rFonts w:ascii="Times New Roman" w:hAnsi="Times New Roman" w:cs="Times New Roman"/>
          <w:sz w:val="24"/>
          <w:szCs w:val="24"/>
        </w:rPr>
        <w:t>This is an instrument commonly used in the decision-making process of accepting or rejecting a loan.</w:t>
      </w:r>
    </w:p>
    <w:p w:rsidR="00154B73" w:rsidRPr="00767AA5" w:rsidRDefault="0060240C" w:rsidP="00767AA5">
      <w:pPr>
        <w:spacing w:after="0"/>
        <w:ind w:firstLine="568"/>
        <w:jc w:val="both"/>
      </w:pPr>
      <w:r w:rsidRPr="0060240C">
        <w:rPr>
          <w:rFonts w:ascii="Times New Roman" w:hAnsi="Times New Roman" w:cs="Times New Roman"/>
          <w:sz w:val="24"/>
          <w:szCs w:val="24"/>
        </w:rPr>
        <w:t>Classification of good and bad credit</w:t>
      </w:r>
      <w:r>
        <w:rPr>
          <w:rFonts w:ascii="Times New Roman" w:hAnsi="Times New Roman" w:cs="Times New Roman"/>
          <w:sz w:val="24"/>
          <w:szCs w:val="24"/>
        </w:rPr>
        <w:t>s it</w:t>
      </w:r>
      <w:r w:rsidRPr="0060240C">
        <w:rPr>
          <w:rFonts w:ascii="Times New Roman" w:hAnsi="Times New Roman" w:cs="Times New Roman"/>
          <w:sz w:val="24"/>
          <w:szCs w:val="24"/>
        </w:rPr>
        <w:t xml:space="preserve"> is of fundamental importance and is, indeed, the objective of a credit model. The need for an appropriate classification technique is thus obvious. But what determines the classification of a new applicant?</w:t>
      </w:r>
      <w:r>
        <w:rPr>
          <w:rFonts w:ascii="Times New Roman" w:hAnsi="Times New Roman" w:cs="Times New Roman"/>
          <w:sz w:val="24"/>
          <w:szCs w:val="24"/>
        </w:rPr>
        <w:t xml:space="preserve"> </w:t>
      </w:r>
      <w:r w:rsidRPr="0060240C">
        <w:rPr>
          <w:rFonts w:ascii="Times New Roman" w:hAnsi="Times New Roman" w:cs="Times New Roman"/>
          <w:sz w:val="24"/>
          <w:szCs w:val="24"/>
        </w:rPr>
        <w:t xml:space="preserve">From literature analysis </w:t>
      </w:r>
      <w:r w:rsidR="00767AA5">
        <w:t>[</w:t>
      </w:r>
      <w:r w:rsidR="00767AA5" w:rsidRPr="00EF6A3E">
        <w:rPr>
          <w:rFonts w:ascii="Times New Roman" w:hAnsi="Times New Roman" w:cs="Times New Roman"/>
        </w:rPr>
        <w:t>Hussein A. Abdou, John Pointon, 2011,</w:t>
      </w:r>
      <w:r w:rsidR="00767AA5">
        <w:rPr>
          <w:rFonts w:ascii="Times New Roman" w:hAnsi="Times New Roman" w:cs="Times New Roman"/>
        </w:rPr>
        <w:t xml:space="preserve"> p. 10</w:t>
      </w:r>
      <w:r w:rsidR="00767AA5">
        <w:t>],</w:t>
      </w:r>
      <w:r w:rsidR="00767AA5">
        <w:rPr>
          <w:rFonts w:ascii="Times New Roman" w:hAnsi="Times New Roman" w:cs="Times New Roman"/>
          <w:sz w:val="24"/>
          <w:szCs w:val="24"/>
        </w:rPr>
        <w:t xml:space="preserve"> </w:t>
      </w:r>
      <w:r w:rsidRPr="0060240C">
        <w:rPr>
          <w:rFonts w:ascii="Times New Roman" w:hAnsi="Times New Roman" w:cs="Times New Roman"/>
          <w:sz w:val="24"/>
          <w:szCs w:val="24"/>
        </w:rPr>
        <w:t>characteristics such as age, marital status, dependents, educational level or occupation are widely used in building scoring models. The time at the current job, the amount of the loan, the duration of the loan, the owner of the house, the monthly income, the bank accounts, the possession of a car, the mortgage, the purpose of the loan, guarantees and others have also been used in building scoring models. In some cases, the list of variables has been extended to include the spouse's personal information, such as age, salary, bank account, and others.</w:t>
      </w:r>
    </w:p>
    <w:p w:rsidR="007A4231" w:rsidRPr="005735F1" w:rsidRDefault="007A4231" w:rsidP="00154B73">
      <w:pPr>
        <w:spacing w:after="0"/>
        <w:ind w:firstLine="568"/>
        <w:jc w:val="both"/>
        <w:rPr>
          <w:rFonts w:ascii="Times New Roman" w:hAnsi="Times New Roman" w:cs="Times New Roman"/>
          <w:sz w:val="24"/>
          <w:szCs w:val="24"/>
        </w:rPr>
      </w:pPr>
      <w:r w:rsidRPr="007A4231">
        <w:rPr>
          <w:rFonts w:ascii="Times New Roman" w:hAnsi="Times New Roman" w:cs="Times New Roman"/>
          <w:sz w:val="24"/>
          <w:szCs w:val="24"/>
        </w:rPr>
        <w:t>In terms of lending to legal entities, the credit score can be achieved by identifying other variables such as the main business</w:t>
      </w:r>
      <w:r w:rsidR="00A72CB6">
        <w:rPr>
          <w:rFonts w:ascii="Times New Roman" w:hAnsi="Times New Roman" w:cs="Times New Roman"/>
          <w:sz w:val="24"/>
          <w:szCs w:val="24"/>
        </w:rPr>
        <w:t xml:space="preserve"> activity</w:t>
      </w:r>
      <w:r w:rsidRPr="007A4231">
        <w:rPr>
          <w:rFonts w:ascii="Times New Roman" w:hAnsi="Times New Roman" w:cs="Times New Roman"/>
          <w:sz w:val="24"/>
          <w:szCs w:val="24"/>
        </w:rPr>
        <w:t>, business age, business location, credit value and different financial rates, for example, profitability, bank credits and leverage</w:t>
      </w:r>
      <w:r w:rsidR="00A72CB6">
        <w:rPr>
          <w:rFonts w:ascii="Times New Roman" w:hAnsi="Times New Roman" w:cs="Times New Roman"/>
          <w:sz w:val="24"/>
          <w:szCs w:val="24"/>
        </w:rPr>
        <w:t xml:space="preserve"> effect</w:t>
      </w:r>
      <w:r w:rsidRPr="007A4231">
        <w:rPr>
          <w:rFonts w:ascii="Times New Roman" w:hAnsi="Times New Roman" w:cs="Times New Roman"/>
          <w:sz w:val="24"/>
          <w:szCs w:val="24"/>
        </w:rPr>
        <w:t>.</w:t>
      </w:r>
    </w:p>
    <w:p w:rsidR="00154B73" w:rsidRPr="00F03B1F" w:rsidRDefault="00A72CB6" w:rsidP="00154B73">
      <w:pPr>
        <w:spacing w:after="0"/>
        <w:ind w:firstLine="568"/>
        <w:jc w:val="both"/>
        <w:rPr>
          <w:rFonts w:ascii="Times New Roman" w:hAnsi="Times New Roman" w:cs="Times New Roman"/>
          <w:sz w:val="24"/>
          <w:szCs w:val="24"/>
        </w:rPr>
      </w:pPr>
      <w:r>
        <w:rPr>
          <w:rFonts w:ascii="Times New Roman" w:hAnsi="Times New Roman" w:cs="Times New Roman"/>
          <w:sz w:val="24"/>
          <w:szCs w:val="24"/>
        </w:rPr>
        <w:lastRenderedPageBreak/>
        <w:t>T</w:t>
      </w:r>
      <w:r w:rsidRPr="00A72CB6">
        <w:rPr>
          <w:rFonts w:ascii="Times New Roman" w:hAnsi="Times New Roman" w:cs="Times New Roman"/>
          <w:sz w:val="24"/>
          <w:szCs w:val="24"/>
        </w:rPr>
        <w:t>he credit decision is based on an assessment of the borrower's financial position and future prospects, in a process known as credit risk analysis. More from a technical point of view, credit risk analysis consists of estimating the probability that a borrower will not return the loan according to the agreed terms (probability of default).</w:t>
      </w:r>
    </w:p>
    <w:p w:rsidR="00154B73" w:rsidRDefault="00154B73" w:rsidP="00154B73">
      <w:pPr>
        <w:spacing w:after="0" w:line="240" w:lineRule="auto"/>
        <w:ind w:firstLine="720"/>
        <w:jc w:val="both"/>
        <w:rPr>
          <w:rFonts w:ascii="Times New Roman" w:hAnsi="Times New Roman" w:cs="Times New Roman"/>
          <w:sz w:val="24"/>
          <w:szCs w:val="24"/>
        </w:rPr>
      </w:pPr>
    </w:p>
    <w:p w:rsidR="00154B73" w:rsidRPr="00F52C73" w:rsidRDefault="009B681B" w:rsidP="009B681B">
      <w:pPr>
        <w:pStyle w:val="ListParagraph"/>
        <w:numPr>
          <w:ilvl w:val="0"/>
          <w:numId w:val="5"/>
        </w:numPr>
        <w:spacing w:after="0" w:line="240" w:lineRule="auto"/>
        <w:jc w:val="both"/>
        <w:rPr>
          <w:rFonts w:ascii="Times New Roman" w:hAnsi="Times New Roman" w:cs="Times New Roman"/>
          <w:b/>
          <w:sz w:val="24"/>
          <w:szCs w:val="24"/>
        </w:rPr>
      </w:pPr>
      <w:r w:rsidRPr="009B681B">
        <w:rPr>
          <w:rFonts w:ascii="Times New Roman" w:hAnsi="Times New Roman" w:cs="Times New Roman"/>
          <w:b/>
          <w:sz w:val="24"/>
          <w:szCs w:val="24"/>
        </w:rPr>
        <w:t>The evolution of credits in Romania by activity domains</w:t>
      </w:r>
    </w:p>
    <w:p w:rsidR="007F780D" w:rsidRDefault="009B681B" w:rsidP="00F70644">
      <w:pPr>
        <w:spacing w:after="0" w:line="240" w:lineRule="auto"/>
        <w:ind w:firstLine="567"/>
        <w:jc w:val="both"/>
        <w:rPr>
          <w:rFonts w:ascii="Times New Roman" w:hAnsi="Times New Roman" w:cs="Times New Roman"/>
          <w:sz w:val="24"/>
          <w:szCs w:val="24"/>
        </w:rPr>
      </w:pPr>
      <w:r w:rsidRPr="009B681B">
        <w:rPr>
          <w:rFonts w:ascii="Times New Roman" w:hAnsi="Times New Roman" w:cs="Times New Roman"/>
          <w:sz w:val="24"/>
          <w:szCs w:val="24"/>
        </w:rPr>
        <w:t xml:space="preserve">The evolution of lending in Romania is the consequence of intensifying business relations with the European single market and access to a market with a lower interest rate after joining the European Union in 2007. The global financial and economic crisis has negatively influenced the Romanian economy and the banking system by deteriorating both of the offer and of the loan application, by reducing the lending activity with major concessions on the debtor-creditor relationship. In this context, after the crisis, </w:t>
      </w:r>
      <w:r>
        <w:rPr>
          <w:rFonts w:ascii="Times New Roman" w:hAnsi="Times New Roman" w:cs="Times New Roman"/>
          <w:sz w:val="24"/>
          <w:szCs w:val="24"/>
        </w:rPr>
        <w:t xml:space="preserve">credit offer </w:t>
      </w:r>
      <w:r w:rsidRPr="009B681B">
        <w:rPr>
          <w:rFonts w:ascii="Times New Roman" w:hAnsi="Times New Roman" w:cs="Times New Roman"/>
          <w:sz w:val="24"/>
          <w:szCs w:val="24"/>
        </w:rPr>
        <w:t xml:space="preserve">and demand for credit </w:t>
      </w:r>
      <w:r>
        <w:rPr>
          <w:rFonts w:ascii="Times New Roman" w:hAnsi="Times New Roman" w:cs="Times New Roman"/>
          <w:sz w:val="24"/>
          <w:szCs w:val="24"/>
        </w:rPr>
        <w:t xml:space="preserve">(credit application) </w:t>
      </w:r>
      <w:r w:rsidRPr="009B681B">
        <w:rPr>
          <w:rFonts w:ascii="Times New Roman" w:hAnsi="Times New Roman" w:cs="Times New Roman"/>
          <w:sz w:val="24"/>
          <w:szCs w:val="24"/>
        </w:rPr>
        <w:t>was influenced by the following factors and brief situations presented in Table no. 1.:</w:t>
      </w:r>
    </w:p>
    <w:p w:rsidR="003D546A" w:rsidRPr="007F780D" w:rsidRDefault="003D546A" w:rsidP="00F70644">
      <w:pPr>
        <w:spacing w:after="0" w:line="240" w:lineRule="auto"/>
        <w:ind w:firstLine="567"/>
        <w:jc w:val="both"/>
        <w:rPr>
          <w:rFonts w:ascii="Times New Roman" w:hAnsi="Times New Roman" w:cs="Times New Roman"/>
          <w:sz w:val="24"/>
          <w:szCs w:val="24"/>
        </w:rPr>
      </w:pPr>
    </w:p>
    <w:p w:rsidR="008137A7" w:rsidRPr="008137A7" w:rsidRDefault="008137A7" w:rsidP="008137A7">
      <w:pPr>
        <w:pStyle w:val="ListParagraph"/>
        <w:spacing w:after="0" w:line="240" w:lineRule="auto"/>
        <w:ind w:left="502"/>
        <w:rPr>
          <w:rFonts w:ascii="Times New Roman" w:hAnsi="Times New Roman" w:cs="Times New Roman"/>
          <w:b/>
          <w:sz w:val="24"/>
          <w:szCs w:val="24"/>
        </w:rPr>
      </w:pPr>
      <w:r w:rsidRPr="008137A7">
        <w:rPr>
          <w:rFonts w:ascii="Times New Roman" w:hAnsi="Times New Roman" w:cs="Times New Roman"/>
          <w:b/>
          <w:sz w:val="24"/>
          <w:szCs w:val="24"/>
        </w:rPr>
        <w:t xml:space="preserve">Table no. 1. </w:t>
      </w:r>
      <w:r w:rsidR="009B681B" w:rsidRPr="009B681B">
        <w:rPr>
          <w:rFonts w:ascii="Times New Roman" w:hAnsi="Times New Roman" w:cs="Times New Roman"/>
          <w:b/>
          <w:sz w:val="24"/>
          <w:szCs w:val="24"/>
        </w:rPr>
        <w:t>Situations that influenced supply and demand for credit</w:t>
      </w:r>
    </w:p>
    <w:tbl>
      <w:tblPr>
        <w:tblStyle w:val="GridTableLight"/>
        <w:tblW w:w="0" w:type="auto"/>
        <w:tblLook w:val="04A0" w:firstRow="1" w:lastRow="0" w:firstColumn="1" w:lastColumn="0" w:noHBand="0" w:noVBand="1"/>
      </w:tblPr>
      <w:tblGrid>
        <w:gridCol w:w="4786"/>
        <w:gridCol w:w="4394"/>
      </w:tblGrid>
      <w:tr w:rsidR="008137A7" w:rsidRPr="003D546A" w:rsidTr="00F70644">
        <w:tc>
          <w:tcPr>
            <w:tcW w:w="4786" w:type="dxa"/>
          </w:tcPr>
          <w:p w:rsidR="008137A7" w:rsidRPr="003D546A" w:rsidRDefault="009B681B" w:rsidP="008137A7">
            <w:pPr>
              <w:pStyle w:val="ListParagraph"/>
              <w:spacing w:after="0" w:line="240" w:lineRule="auto"/>
              <w:ind w:left="0"/>
              <w:jc w:val="both"/>
              <w:rPr>
                <w:rFonts w:ascii="Times New Roman" w:hAnsi="Times New Roman" w:cs="Times New Roman"/>
                <w:b/>
                <w:sz w:val="24"/>
                <w:szCs w:val="24"/>
              </w:rPr>
            </w:pPr>
            <w:r w:rsidRPr="003D546A">
              <w:rPr>
                <w:rFonts w:ascii="Times New Roman" w:hAnsi="Times New Roman" w:cs="Times New Roman"/>
                <w:b/>
                <w:sz w:val="24"/>
                <w:szCs w:val="24"/>
              </w:rPr>
              <w:t>Credit Offer</w:t>
            </w:r>
          </w:p>
        </w:tc>
        <w:tc>
          <w:tcPr>
            <w:tcW w:w="4394" w:type="dxa"/>
          </w:tcPr>
          <w:p w:rsidR="008137A7" w:rsidRPr="003D546A" w:rsidRDefault="009B681B" w:rsidP="008137A7">
            <w:pPr>
              <w:pStyle w:val="ListParagraph"/>
              <w:spacing w:after="0" w:line="240" w:lineRule="auto"/>
              <w:ind w:left="0"/>
              <w:jc w:val="both"/>
              <w:rPr>
                <w:rFonts w:ascii="Times New Roman" w:hAnsi="Times New Roman" w:cs="Times New Roman"/>
                <w:b/>
                <w:sz w:val="24"/>
                <w:szCs w:val="24"/>
              </w:rPr>
            </w:pPr>
            <w:r w:rsidRPr="003D546A">
              <w:rPr>
                <w:rFonts w:ascii="Times New Roman" w:hAnsi="Times New Roman" w:cs="Times New Roman"/>
                <w:b/>
                <w:sz w:val="24"/>
                <w:szCs w:val="24"/>
              </w:rPr>
              <w:t>Credit Application</w:t>
            </w:r>
          </w:p>
        </w:tc>
      </w:tr>
      <w:tr w:rsidR="008137A7" w:rsidRPr="003D546A" w:rsidTr="00F70644">
        <w:tc>
          <w:tcPr>
            <w:tcW w:w="4786" w:type="dxa"/>
          </w:tcPr>
          <w:p w:rsidR="008137A7" w:rsidRPr="003D546A" w:rsidRDefault="009B681B" w:rsidP="007B528D">
            <w:pPr>
              <w:spacing w:after="0" w:line="240" w:lineRule="auto"/>
              <w:jc w:val="both"/>
              <w:rPr>
                <w:rFonts w:ascii="Times New Roman" w:hAnsi="Times New Roman" w:cs="Times New Roman"/>
                <w:sz w:val="24"/>
                <w:szCs w:val="24"/>
              </w:rPr>
            </w:pPr>
            <w:r w:rsidRPr="003D546A">
              <w:rPr>
                <w:rFonts w:ascii="Times New Roman" w:hAnsi="Times New Roman" w:cs="Times New Roman"/>
                <w:sz w:val="24"/>
                <w:szCs w:val="24"/>
              </w:rPr>
              <w:t>asymmetric competition between government and companies regarding the access to funding sources as a result of accelerated public debt growth;</w:t>
            </w:r>
          </w:p>
        </w:tc>
        <w:tc>
          <w:tcPr>
            <w:tcW w:w="4394" w:type="dxa"/>
          </w:tcPr>
          <w:p w:rsidR="007E51E6" w:rsidRPr="003D546A" w:rsidRDefault="007E51E6" w:rsidP="007B528D">
            <w:pPr>
              <w:spacing w:after="0" w:line="240" w:lineRule="auto"/>
              <w:jc w:val="both"/>
              <w:rPr>
                <w:rFonts w:ascii="Times New Roman" w:hAnsi="Times New Roman" w:cs="Times New Roman"/>
                <w:sz w:val="24"/>
                <w:szCs w:val="24"/>
              </w:rPr>
            </w:pPr>
            <w:r w:rsidRPr="003D546A">
              <w:rPr>
                <w:rFonts w:ascii="Times New Roman" w:hAnsi="Times New Roman" w:cs="Times New Roman"/>
                <w:sz w:val="24"/>
                <w:szCs w:val="24"/>
              </w:rPr>
              <w:t>reducing corporate debt due to financial blockage;</w:t>
            </w:r>
          </w:p>
        </w:tc>
      </w:tr>
      <w:tr w:rsidR="008137A7" w:rsidRPr="003D546A" w:rsidTr="00F70644">
        <w:tc>
          <w:tcPr>
            <w:tcW w:w="4786" w:type="dxa"/>
          </w:tcPr>
          <w:p w:rsidR="008137A7" w:rsidRPr="003D546A" w:rsidRDefault="009B681B" w:rsidP="009B681B">
            <w:pPr>
              <w:spacing w:after="0" w:line="240" w:lineRule="auto"/>
              <w:jc w:val="both"/>
              <w:rPr>
                <w:rFonts w:ascii="Times New Roman" w:hAnsi="Times New Roman" w:cs="Times New Roman"/>
                <w:sz w:val="24"/>
                <w:szCs w:val="24"/>
              </w:rPr>
            </w:pPr>
            <w:r w:rsidRPr="003D546A">
              <w:rPr>
                <w:rFonts w:ascii="Times New Roman" w:hAnsi="Times New Roman" w:cs="Times New Roman"/>
                <w:sz w:val="24"/>
                <w:szCs w:val="24"/>
              </w:rPr>
              <w:t>a high level of non-performing credits that led to an increase in banks' provisions;</w:t>
            </w:r>
          </w:p>
        </w:tc>
        <w:tc>
          <w:tcPr>
            <w:tcW w:w="4394" w:type="dxa"/>
          </w:tcPr>
          <w:p w:rsidR="008137A7" w:rsidRPr="003D546A" w:rsidRDefault="007E51E6" w:rsidP="007B528D">
            <w:pPr>
              <w:spacing w:after="0" w:line="240" w:lineRule="auto"/>
              <w:jc w:val="both"/>
              <w:rPr>
                <w:rFonts w:ascii="Times New Roman" w:hAnsi="Times New Roman" w:cs="Times New Roman"/>
                <w:sz w:val="24"/>
                <w:szCs w:val="24"/>
              </w:rPr>
            </w:pPr>
            <w:r w:rsidRPr="003D546A">
              <w:rPr>
                <w:rFonts w:ascii="Times New Roman" w:hAnsi="Times New Roman" w:cs="Times New Roman"/>
                <w:sz w:val="24"/>
                <w:szCs w:val="24"/>
              </w:rPr>
              <w:t>the deterioration in the creditworthiness of companies as a result of restrictions on both domestic and export markets;</w:t>
            </w:r>
          </w:p>
        </w:tc>
      </w:tr>
      <w:tr w:rsidR="008137A7" w:rsidRPr="003D546A" w:rsidTr="00F70644">
        <w:tc>
          <w:tcPr>
            <w:tcW w:w="4786" w:type="dxa"/>
          </w:tcPr>
          <w:p w:rsidR="008137A7" w:rsidRPr="003D546A" w:rsidRDefault="009B681B" w:rsidP="007B528D">
            <w:pPr>
              <w:spacing w:after="0" w:line="240" w:lineRule="auto"/>
              <w:jc w:val="both"/>
              <w:rPr>
                <w:rFonts w:ascii="Times New Roman" w:hAnsi="Times New Roman" w:cs="Times New Roman"/>
                <w:sz w:val="24"/>
                <w:szCs w:val="24"/>
              </w:rPr>
            </w:pPr>
            <w:r w:rsidRPr="003D546A">
              <w:rPr>
                <w:rFonts w:ascii="Times New Roman" w:hAnsi="Times New Roman" w:cs="Times New Roman"/>
                <w:sz w:val="24"/>
                <w:szCs w:val="24"/>
              </w:rPr>
              <w:t>a relaxation of the monetary policy of the NBR through the reduction of the minimum required reserves and the reduction of the monetary policy rate;</w:t>
            </w:r>
          </w:p>
        </w:tc>
        <w:tc>
          <w:tcPr>
            <w:tcW w:w="4394" w:type="dxa"/>
          </w:tcPr>
          <w:p w:rsidR="008137A7" w:rsidRPr="003D546A" w:rsidRDefault="007E51E6" w:rsidP="007B528D">
            <w:pPr>
              <w:spacing w:after="0" w:line="240" w:lineRule="auto"/>
              <w:jc w:val="both"/>
              <w:rPr>
                <w:rFonts w:ascii="Times New Roman" w:hAnsi="Times New Roman" w:cs="Times New Roman"/>
                <w:sz w:val="24"/>
                <w:szCs w:val="24"/>
              </w:rPr>
            </w:pPr>
            <w:r w:rsidRPr="003D546A">
              <w:rPr>
                <w:rFonts w:ascii="Times New Roman" w:hAnsi="Times New Roman" w:cs="Times New Roman"/>
                <w:sz w:val="24"/>
                <w:szCs w:val="24"/>
              </w:rPr>
              <w:t>a decrease  of the companies profitability and incomes of the population;</w:t>
            </w:r>
          </w:p>
        </w:tc>
      </w:tr>
      <w:tr w:rsidR="008137A7" w:rsidRPr="003D546A" w:rsidTr="00F70644">
        <w:tc>
          <w:tcPr>
            <w:tcW w:w="4786" w:type="dxa"/>
          </w:tcPr>
          <w:p w:rsidR="008137A7" w:rsidRPr="003D546A" w:rsidRDefault="009B681B" w:rsidP="007B528D">
            <w:pPr>
              <w:spacing w:after="0" w:line="240" w:lineRule="auto"/>
              <w:jc w:val="both"/>
              <w:rPr>
                <w:rFonts w:ascii="Times New Roman" w:hAnsi="Times New Roman" w:cs="Times New Roman"/>
                <w:sz w:val="24"/>
                <w:szCs w:val="24"/>
              </w:rPr>
            </w:pPr>
            <w:r w:rsidRPr="003D546A">
              <w:rPr>
                <w:rFonts w:ascii="Times New Roman" w:hAnsi="Times New Roman" w:cs="Times New Roman"/>
                <w:sz w:val="24"/>
                <w:szCs w:val="24"/>
              </w:rPr>
              <w:t>a tightening of credit standards for both household and non-financial companies;</w:t>
            </w:r>
          </w:p>
        </w:tc>
        <w:tc>
          <w:tcPr>
            <w:tcW w:w="4394" w:type="dxa"/>
          </w:tcPr>
          <w:p w:rsidR="008137A7" w:rsidRPr="003D546A" w:rsidRDefault="007E51E6" w:rsidP="007B528D">
            <w:pPr>
              <w:spacing w:after="0" w:line="240" w:lineRule="auto"/>
              <w:jc w:val="both"/>
              <w:rPr>
                <w:rFonts w:ascii="Times New Roman" w:hAnsi="Times New Roman" w:cs="Times New Roman"/>
                <w:sz w:val="24"/>
                <w:szCs w:val="24"/>
              </w:rPr>
            </w:pPr>
            <w:r w:rsidRPr="003D546A">
              <w:rPr>
                <w:rFonts w:ascii="Times New Roman" w:hAnsi="Times New Roman" w:cs="Times New Roman"/>
                <w:sz w:val="24"/>
                <w:szCs w:val="24"/>
              </w:rPr>
              <w:t>a volatility of the exchange rate of the national currency against the major international currencies.</w:t>
            </w:r>
          </w:p>
        </w:tc>
      </w:tr>
      <w:tr w:rsidR="008137A7" w:rsidRPr="003D546A" w:rsidTr="00F70644">
        <w:tc>
          <w:tcPr>
            <w:tcW w:w="4786" w:type="dxa"/>
          </w:tcPr>
          <w:p w:rsidR="008137A7" w:rsidRPr="003D546A" w:rsidRDefault="009B681B" w:rsidP="007B528D">
            <w:pPr>
              <w:spacing w:after="0" w:line="240" w:lineRule="auto"/>
              <w:jc w:val="both"/>
              <w:rPr>
                <w:rFonts w:ascii="Times New Roman" w:hAnsi="Times New Roman" w:cs="Times New Roman"/>
                <w:sz w:val="24"/>
                <w:szCs w:val="24"/>
              </w:rPr>
            </w:pPr>
            <w:r w:rsidRPr="003D546A">
              <w:rPr>
                <w:rFonts w:ascii="Times New Roman" w:hAnsi="Times New Roman" w:cs="Times New Roman"/>
                <w:sz w:val="24"/>
                <w:szCs w:val="24"/>
              </w:rPr>
              <w:t>an increase in banks' prudential measures, driven by worsening economic and financial conditions, increasing the risk of adverse selection and reassessing the risk profile of clients.</w:t>
            </w:r>
          </w:p>
        </w:tc>
        <w:tc>
          <w:tcPr>
            <w:tcW w:w="4394" w:type="dxa"/>
          </w:tcPr>
          <w:p w:rsidR="008137A7" w:rsidRPr="003D546A" w:rsidRDefault="008137A7" w:rsidP="008137A7">
            <w:pPr>
              <w:pStyle w:val="ListParagraph"/>
              <w:spacing w:after="0" w:line="240" w:lineRule="auto"/>
              <w:ind w:left="0"/>
              <w:jc w:val="both"/>
              <w:rPr>
                <w:rFonts w:ascii="Times New Roman" w:hAnsi="Times New Roman" w:cs="Times New Roman"/>
                <w:sz w:val="24"/>
                <w:szCs w:val="24"/>
              </w:rPr>
            </w:pPr>
          </w:p>
        </w:tc>
      </w:tr>
    </w:tbl>
    <w:p w:rsidR="008137A7" w:rsidRDefault="008137A7" w:rsidP="00154B73">
      <w:pPr>
        <w:spacing w:after="0" w:line="240" w:lineRule="auto"/>
        <w:ind w:firstLine="567"/>
        <w:jc w:val="both"/>
        <w:rPr>
          <w:rFonts w:ascii="Times New Roman" w:hAnsi="Times New Roman" w:cs="Times New Roman"/>
          <w:sz w:val="24"/>
          <w:szCs w:val="24"/>
        </w:rPr>
      </w:pPr>
    </w:p>
    <w:p w:rsidR="00617D69" w:rsidRDefault="00617D69" w:rsidP="00C43421">
      <w:pPr>
        <w:spacing w:after="0" w:line="240" w:lineRule="auto"/>
        <w:ind w:firstLine="567"/>
        <w:jc w:val="both"/>
        <w:rPr>
          <w:rFonts w:ascii="Times New Roman" w:hAnsi="Times New Roman" w:cs="Times New Roman"/>
          <w:sz w:val="24"/>
          <w:szCs w:val="24"/>
        </w:rPr>
      </w:pPr>
      <w:r w:rsidRPr="00617D69">
        <w:rPr>
          <w:rFonts w:ascii="Times New Roman" w:hAnsi="Times New Roman" w:cs="Times New Roman"/>
          <w:sz w:val="24"/>
          <w:szCs w:val="24"/>
        </w:rPr>
        <w:t>As regards the activity of the companies that contracted loans in 2017, the highest share is occupied by the services sector (45%), followed by the industry by 31% and the constructions by 11% over time the lowest share held by agriculture by 8% and the activities of financial intermediation and insurance (5%) (Figure</w:t>
      </w:r>
      <w:r>
        <w:rPr>
          <w:rFonts w:ascii="Times New Roman" w:hAnsi="Times New Roman" w:cs="Times New Roman"/>
          <w:sz w:val="24"/>
          <w:szCs w:val="24"/>
        </w:rPr>
        <w:t xml:space="preserve"> no</w:t>
      </w:r>
      <w:r w:rsidRPr="00617D69">
        <w:rPr>
          <w:rFonts w:ascii="Times New Roman" w:hAnsi="Times New Roman" w:cs="Times New Roman"/>
          <w:sz w:val="24"/>
          <w:szCs w:val="24"/>
        </w:rPr>
        <w:t xml:space="preserve"> 1).</w:t>
      </w:r>
    </w:p>
    <w:p w:rsidR="00F70644" w:rsidRPr="00F70644" w:rsidRDefault="00F70644" w:rsidP="00F70644">
      <w:pPr>
        <w:spacing w:after="0" w:line="240" w:lineRule="auto"/>
        <w:ind w:firstLine="567"/>
        <w:jc w:val="both"/>
        <w:rPr>
          <w:rFonts w:ascii="Times New Roman" w:hAnsi="Times New Roman" w:cs="Times New Roman"/>
          <w:sz w:val="24"/>
          <w:szCs w:val="24"/>
        </w:rPr>
      </w:pPr>
      <w:r>
        <w:rPr>
          <w:noProof/>
          <w:lang w:eastAsia="ro-RO"/>
        </w:rPr>
        <w:lastRenderedPageBreak/>
        <w:drawing>
          <wp:inline distT="0" distB="0" distL="0" distR="0" wp14:anchorId="2293AF56" wp14:editId="16BA2FB7">
            <wp:extent cx="5471160" cy="3177540"/>
            <wp:effectExtent l="0" t="0" r="15240"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0" w:name="_Toc517698241"/>
    </w:p>
    <w:p w:rsidR="00154B73" w:rsidRPr="007B60F3" w:rsidRDefault="00617D69" w:rsidP="00154B73">
      <w:pPr>
        <w:pStyle w:val="Caption"/>
        <w:spacing w:after="0"/>
        <w:jc w:val="center"/>
        <w:rPr>
          <w:rFonts w:ascii="Times New Roman" w:hAnsi="Times New Roman" w:cs="Times New Roman"/>
          <w:b/>
          <w:i w:val="0"/>
          <w:color w:val="auto"/>
          <w:sz w:val="20"/>
          <w:szCs w:val="20"/>
        </w:rPr>
      </w:pPr>
      <w:r>
        <w:rPr>
          <w:rFonts w:ascii="Times New Roman" w:hAnsi="Times New Roman" w:cs="Times New Roman"/>
          <w:b/>
          <w:i w:val="0"/>
          <w:color w:val="auto"/>
          <w:sz w:val="20"/>
          <w:szCs w:val="20"/>
        </w:rPr>
        <w:t>Figure no</w:t>
      </w:r>
      <w:r w:rsidR="007F780D">
        <w:rPr>
          <w:rFonts w:ascii="Times New Roman" w:hAnsi="Times New Roman" w:cs="Times New Roman"/>
          <w:b/>
          <w:i w:val="0"/>
          <w:color w:val="auto"/>
          <w:sz w:val="20"/>
          <w:szCs w:val="20"/>
        </w:rPr>
        <w:t xml:space="preserve">. </w:t>
      </w:r>
      <w:r w:rsidR="00C43421">
        <w:rPr>
          <w:rFonts w:ascii="Times New Roman" w:hAnsi="Times New Roman" w:cs="Times New Roman"/>
          <w:b/>
          <w:i w:val="0"/>
          <w:color w:val="auto"/>
          <w:sz w:val="20"/>
          <w:szCs w:val="20"/>
        </w:rPr>
        <w:t>1</w:t>
      </w:r>
      <w:r w:rsidR="00154B73" w:rsidRPr="007B60F3">
        <w:rPr>
          <w:rFonts w:ascii="Times New Roman" w:hAnsi="Times New Roman" w:cs="Times New Roman"/>
          <w:b/>
          <w:i w:val="0"/>
          <w:color w:val="auto"/>
          <w:sz w:val="20"/>
          <w:szCs w:val="20"/>
        </w:rPr>
        <w:t xml:space="preserve">. </w:t>
      </w:r>
      <w:bookmarkEnd w:id="0"/>
      <w:r>
        <w:rPr>
          <w:rFonts w:ascii="Times New Roman" w:hAnsi="Times New Roman" w:cs="Times New Roman"/>
          <w:b/>
          <w:i w:val="0"/>
          <w:color w:val="auto"/>
          <w:sz w:val="20"/>
          <w:szCs w:val="20"/>
        </w:rPr>
        <w:t xml:space="preserve">Share </w:t>
      </w:r>
      <w:r w:rsidRPr="00617D69">
        <w:rPr>
          <w:rFonts w:ascii="Times New Roman" w:hAnsi="Times New Roman" w:cs="Times New Roman"/>
          <w:b/>
          <w:i w:val="0"/>
          <w:color w:val="auto"/>
          <w:sz w:val="20"/>
          <w:szCs w:val="20"/>
        </w:rPr>
        <w:t>of the loans granted</w:t>
      </w:r>
      <w:r>
        <w:rPr>
          <w:rFonts w:ascii="Times New Roman" w:hAnsi="Times New Roman" w:cs="Times New Roman"/>
          <w:b/>
          <w:i w:val="0"/>
          <w:color w:val="auto"/>
          <w:sz w:val="20"/>
          <w:szCs w:val="20"/>
        </w:rPr>
        <w:t xml:space="preserve"> </w:t>
      </w:r>
      <w:r w:rsidRPr="00617D69">
        <w:rPr>
          <w:rFonts w:ascii="Times New Roman" w:hAnsi="Times New Roman" w:cs="Times New Roman"/>
          <w:b/>
          <w:i w:val="0"/>
          <w:color w:val="auto"/>
          <w:sz w:val="20"/>
          <w:szCs w:val="20"/>
        </w:rPr>
        <w:t>to commercial companies, by sectors of activity, 2017</w:t>
      </w:r>
    </w:p>
    <w:p w:rsidR="00E6593F" w:rsidRPr="007B60F3" w:rsidRDefault="00617D69" w:rsidP="00F70644">
      <w:pPr>
        <w:spacing w:after="0"/>
        <w:jc w:val="center"/>
        <w:rPr>
          <w:rFonts w:ascii="Times New Roman" w:hAnsi="Times New Roman" w:cs="Times New Roman"/>
        </w:rPr>
      </w:pPr>
      <w:r>
        <w:rPr>
          <w:rFonts w:ascii="Times New Roman" w:hAnsi="Times New Roman" w:cs="Times New Roman"/>
          <w:i/>
        </w:rPr>
        <w:t>Sourse</w:t>
      </w:r>
      <w:r w:rsidR="00154B73" w:rsidRPr="007B60F3">
        <w:rPr>
          <w:rFonts w:ascii="Times New Roman" w:hAnsi="Times New Roman" w:cs="Times New Roman"/>
          <w:i/>
        </w:rPr>
        <w:t>:</w:t>
      </w:r>
      <w:r w:rsidR="00154B73" w:rsidRPr="007B60F3">
        <w:rPr>
          <w:rFonts w:ascii="Times New Roman" w:hAnsi="Times New Roman" w:cs="Times New Roman"/>
        </w:rPr>
        <w:t xml:space="preserve"> </w:t>
      </w:r>
      <w:r w:rsidRPr="00617D69">
        <w:rPr>
          <w:rFonts w:ascii="Times New Roman" w:hAnsi="Times New Roman" w:cs="Times New Roman"/>
          <w:i/>
        </w:rPr>
        <w:t xml:space="preserve">processing by authors after </w:t>
      </w:r>
      <w:hyperlink r:id="rId9" w:history="1">
        <w:r w:rsidR="00154B73" w:rsidRPr="00617D69">
          <w:rPr>
            <w:rStyle w:val="Hyperlink"/>
            <w:rFonts w:ascii="Times New Roman" w:hAnsi="Times New Roman" w:cs="Times New Roman"/>
            <w:i/>
          </w:rPr>
          <w:t>www.bnro.ro</w:t>
        </w:r>
      </w:hyperlink>
    </w:p>
    <w:p w:rsidR="003D546A" w:rsidRDefault="003D546A" w:rsidP="00154B73">
      <w:pPr>
        <w:spacing w:after="0" w:line="240" w:lineRule="auto"/>
        <w:ind w:firstLine="567"/>
        <w:jc w:val="both"/>
        <w:rPr>
          <w:rFonts w:ascii="Times New Roman" w:hAnsi="Times New Roman" w:cs="Times New Roman"/>
          <w:sz w:val="24"/>
          <w:szCs w:val="24"/>
        </w:rPr>
      </w:pPr>
    </w:p>
    <w:p w:rsidR="00154B73" w:rsidRDefault="002323AF" w:rsidP="00154B73">
      <w:pPr>
        <w:spacing w:after="0" w:line="240" w:lineRule="auto"/>
        <w:ind w:firstLine="567"/>
        <w:jc w:val="both"/>
        <w:rPr>
          <w:rFonts w:ascii="Times New Roman" w:hAnsi="Times New Roman" w:cs="Times New Roman"/>
          <w:sz w:val="24"/>
          <w:szCs w:val="24"/>
        </w:rPr>
      </w:pPr>
      <w:r w:rsidRPr="002323AF">
        <w:rPr>
          <w:rFonts w:ascii="Times New Roman" w:hAnsi="Times New Roman" w:cs="Times New Roman"/>
          <w:sz w:val="24"/>
          <w:szCs w:val="24"/>
        </w:rPr>
        <w:t>Regarding the evolution of credits granted</w:t>
      </w:r>
      <w:r>
        <w:rPr>
          <w:rFonts w:ascii="Times New Roman" w:hAnsi="Times New Roman" w:cs="Times New Roman"/>
          <w:sz w:val="24"/>
          <w:szCs w:val="24"/>
        </w:rPr>
        <w:t xml:space="preserve"> </w:t>
      </w:r>
      <w:r w:rsidRPr="002323AF">
        <w:rPr>
          <w:rFonts w:ascii="Times New Roman" w:hAnsi="Times New Roman" w:cs="Times New Roman"/>
          <w:sz w:val="24"/>
          <w:szCs w:val="24"/>
        </w:rPr>
        <w:t xml:space="preserve">to companies on different types of activities, during the period 2010-2017, it can be noticed that the most pronounced increase is recorded in the services sector. However, in 2017 loans for financial intermediation and insurance activities increased by 21.17% compared to 2016, while loans </w:t>
      </w:r>
      <w:r>
        <w:rPr>
          <w:rFonts w:ascii="Times New Roman" w:hAnsi="Times New Roman" w:cs="Times New Roman"/>
          <w:sz w:val="24"/>
          <w:szCs w:val="24"/>
        </w:rPr>
        <w:t xml:space="preserve">(credits) </w:t>
      </w:r>
      <w:r w:rsidRPr="002323AF">
        <w:rPr>
          <w:rFonts w:ascii="Times New Roman" w:hAnsi="Times New Roman" w:cs="Times New Roman"/>
          <w:sz w:val="24"/>
          <w:szCs w:val="24"/>
        </w:rPr>
        <w:t xml:space="preserve">for services rose by only 4.8%. A decrease compared to 2016 is registered in the construction sector by -2.93% (Figure </w:t>
      </w:r>
      <w:r>
        <w:rPr>
          <w:rFonts w:ascii="Times New Roman" w:hAnsi="Times New Roman" w:cs="Times New Roman"/>
          <w:sz w:val="24"/>
          <w:szCs w:val="24"/>
        </w:rPr>
        <w:t xml:space="preserve">no. </w:t>
      </w:r>
      <w:r w:rsidRPr="002323AF">
        <w:rPr>
          <w:rFonts w:ascii="Times New Roman" w:hAnsi="Times New Roman" w:cs="Times New Roman"/>
          <w:sz w:val="24"/>
          <w:szCs w:val="24"/>
        </w:rPr>
        <w:t>2)</w:t>
      </w:r>
    </w:p>
    <w:p w:rsidR="00154B73" w:rsidRDefault="00154B73" w:rsidP="00154B73">
      <w:pPr>
        <w:spacing w:after="0" w:line="240" w:lineRule="auto"/>
        <w:ind w:firstLine="567"/>
        <w:jc w:val="both"/>
        <w:rPr>
          <w:rFonts w:ascii="Times New Roman" w:hAnsi="Times New Roman" w:cs="Times New Roman"/>
          <w:sz w:val="24"/>
          <w:szCs w:val="24"/>
        </w:rPr>
      </w:pPr>
    </w:p>
    <w:p w:rsidR="00154B73" w:rsidRDefault="00154B73" w:rsidP="00154B73">
      <w:pPr>
        <w:keepNext/>
        <w:spacing w:after="0" w:line="240" w:lineRule="auto"/>
        <w:jc w:val="both"/>
      </w:pPr>
      <w:r>
        <w:rPr>
          <w:rFonts w:ascii="Times New Roman" w:hAnsi="Times New Roman" w:cs="Times New Roman"/>
          <w:noProof/>
          <w:sz w:val="24"/>
          <w:szCs w:val="24"/>
          <w:lang w:eastAsia="ro-RO"/>
        </w:rPr>
        <w:drawing>
          <wp:inline distT="0" distB="0" distL="0" distR="0" wp14:anchorId="692435D2" wp14:editId="2D319C92">
            <wp:extent cx="5966460" cy="3627120"/>
            <wp:effectExtent l="0" t="0" r="15240" b="1143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54B73" w:rsidRPr="007B60F3" w:rsidRDefault="002323AF" w:rsidP="00154B73">
      <w:pPr>
        <w:pStyle w:val="Caption"/>
        <w:spacing w:after="0"/>
        <w:jc w:val="center"/>
        <w:rPr>
          <w:rFonts w:ascii="Times New Roman" w:hAnsi="Times New Roman" w:cs="Times New Roman"/>
          <w:b/>
          <w:i w:val="0"/>
          <w:color w:val="auto"/>
          <w:sz w:val="20"/>
          <w:szCs w:val="20"/>
        </w:rPr>
      </w:pPr>
      <w:bookmarkStart w:id="1" w:name="_Toc517698242"/>
      <w:r>
        <w:rPr>
          <w:rFonts w:ascii="Times New Roman" w:hAnsi="Times New Roman" w:cs="Times New Roman"/>
          <w:b/>
          <w:i w:val="0"/>
          <w:color w:val="auto"/>
          <w:sz w:val="20"/>
          <w:szCs w:val="20"/>
        </w:rPr>
        <w:t>Figure no</w:t>
      </w:r>
      <w:r w:rsidR="00274648">
        <w:rPr>
          <w:rFonts w:ascii="Times New Roman" w:hAnsi="Times New Roman" w:cs="Times New Roman"/>
          <w:b/>
          <w:i w:val="0"/>
          <w:color w:val="auto"/>
          <w:sz w:val="20"/>
          <w:szCs w:val="20"/>
        </w:rPr>
        <w:t xml:space="preserve">. </w:t>
      </w:r>
      <w:r w:rsidR="00F31E10">
        <w:rPr>
          <w:rFonts w:ascii="Times New Roman" w:hAnsi="Times New Roman" w:cs="Times New Roman"/>
          <w:b/>
          <w:i w:val="0"/>
          <w:color w:val="auto"/>
          <w:sz w:val="20"/>
          <w:szCs w:val="20"/>
        </w:rPr>
        <w:t>2</w:t>
      </w:r>
      <w:r w:rsidR="00154B73" w:rsidRPr="007B60F3">
        <w:rPr>
          <w:rFonts w:ascii="Times New Roman" w:hAnsi="Times New Roman" w:cs="Times New Roman"/>
          <w:b/>
          <w:i w:val="0"/>
          <w:color w:val="auto"/>
          <w:sz w:val="20"/>
          <w:szCs w:val="20"/>
        </w:rPr>
        <w:t xml:space="preserve">. </w:t>
      </w:r>
      <w:bookmarkEnd w:id="1"/>
      <w:r w:rsidR="006F0B6F" w:rsidRPr="006F0B6F">
        <w:rPr>
          <w:rFonts w:ascii="Times New Roman" w:hAnsi="Times New Roman" w:cs="Times New Roman"/>
          <w:b/>
          <w:i w:val="0"/>
          <w:color w:val="auto"/>
          <w:sz w:val="20"/>
          <w:szCs w:val="20"/>
        </w:rPr>
        <w:t xml:space="preserve">Evolution of credits to </w:t>
      </w:r>
      <w:r w:rsidR="006F0B6F">
        <w:rPr>
          <w:rFonts w:ascii="Times New Roman" w:hAnsi="Times New Roman" w:cs="Times New Roman"/>
          <w:b/>
          <w:i w:val="0"/>
          <w:color w:val="auto"/>
          <w:sz w:val="20"/>
          <w:szCs w:val="20"/>
        </w:rPr>
        <w:t xml:space="preserve">granted to </w:t>
      </w:r>
      <w:r w:rsidR="006F0B6F" w:rsidRPr="006F0B6F">
        <w:rPr>
          <w:rFonts w:ascii="Times New Roman" w:hAnsi="Times New Roman" w:cs="Times New Roman"/>
          <w:b/>
          <w:i w:val="0"/>
          <w:color w:val="auto"/>
          <w:sz w:val="20"/>
          <w:szCs w:val="20"/>
        </w:rPr>
        <w:t>companies in different sectors of activity, 2010-2017</w:t>
      </w:r>
    </w:p>
    <w:p w:rsidR="00154B73" w:rsidRDefault="006F0B6F" w:rsidP="00154B73">
      <w:pPr>
        <w:spacing w:after="0"/>
        <w:jc w:val="center"/>
        <w:rPr>
          <w:rFonts w:ascii="Times New Roman" w:hAnsi="Times New Roman" w:cs="Times New Roman"/>
        </w:rPr>
      </w:pPr>
      <w:r>
        <w:rPr>
          <w:rFonts w:ascii="Times New Roman" w:hAnsi="Times New Roman" w:cs="Times New Roman"/>
          <w:i/>
        </w:rPr>
        <w:t>Sourse</w:t>
      </w:r>
      <w:r w:rsidRPr="007B60F3">
        <w:rPr>
          <w:rFonts w:ascii="Times New Roman" w:hAnsi="Times New Roman" w:cs="Times New Roman"/>
          <w:i/>
        </w:rPr>
        <w:t>:</w:t>
      </w:r>
      <w:r w:rsidRPr="007B60F3">
        <w:rPr>
          <w:rFonts w:ascii="Times New Roman" w:hAnsi="Times New Roman" w:cs="Times New Roman"/>
        </w:rPr>
        <w:t xml:space="preserve"> </w:t>
      </w:r>
      <w:r w:rsidRPr="00617D69">
        <w:rPr>
          <w:rFonts w:ascii="Times New Roman" w:hAnsi="Times New Roman" w:cs="Times New Roman"/>
          <w:i/>
        </w:rPr>
        <w:t xml:space="preserve">processing by authors after </w:t>
      </w:r>
      <w:hyperlink r:id="rId11" w:history="1">
        <w:r w:rsidR="00154B73" w:rsidRPr="0021206E">
          <w:rPr>
            <w:rStyle w:val="Hyperlink"/>
            <w:rFonts w:ascii="Times New Roman" w:hAnsi="Times New Roman" w:cs="Times New Roman"/>
          </w:rPr>
          <w:t>www.bnro.ro</w:t>
        </w:r>
      </w:hyperlink>
    </w:p>
    <w:p w:rsidR="00125B2B" w:rsidRDefault="003E3992" w:rsidP="006D04A3">
      <w:pPr>
        <w:spacing w:after="0"/>
        <w:ind w:firstLine="708"/>
        <w:jc w:val="both"/>
        <w:rPr>
          <w:rFonts w:ascii="Times New Roman" w:hAnsi="Times New Roman" w:cs="Times New Roman"/>
          <w:sz w:val="24"/>
          <w:szCs w:val="24"/>
        </w:rPr>
      </w:pPr>
      <w:r w:rsidRPr="003E3992">
        <w:rPr>
          <w:rFonts w:ascii="Times New Roman" w:hAnsi="Times New Roman" w:cs="Times New Roman"/>
          <w:sz w:val="24"/>
          <w:szCs w:val="24"/>
        </w:rPr>
        <w:lastRenderedPageBreak/>
        <w:t>In the period 2012-2017, companies have contracted credits for various activities, including treasury loans</w:t>
      </w:r>
      <w:r>
        <w:rPr>
          <w:rFonts w:ascii="Times New Roman" w:hAnsi="Times New Roman" w:cs="Times New Roman"/>
          <w:sz w:val="24"/>
          <w:szCs w:val="24"/>
        </w:rPr>
        <w:t xml:space="preserve"> (credits)</w:t>
      </w:r>
      <w:r w:rsidRPr="003E3992">
        <w:rPr>
          <w:rFonts w:ascii="Times New Roman" w:hAnsi="Times New Roman" w:cs="Times New Roman"/>
          <w:sz w:val="24"/>
          <w:szCs w:val="24"/>
        </w:rPr>
        <w:t>, with the most significant increase of 6.1% in 2017 compared to 2016, equipment credits, which in 2017 increased by 4 6%. On the other hand, in 2017, loans</w:t>
      </w:r>
      <w:r>
        <w:rPr>
          <w:rFonts w:ascii="Times New Roman" w:hAnsi="Times New Roman" w:cs="Times New Roman"/>
          <w:sz w:val="24"/>
          <w:szCs w:val="24"/>
        </w:rPr>
        <w:t xml:space="preserve"> (credits)</w:t>
      </w:r>
      <w:r w:rsidRPr="003E3992">
        <w:rPr>
          <w:rFonts w:ascii="Times New Roman" w:hAnsi="Times New Roman" w:cs="Times New Roman"/>
          <w:sz w:val="24"/>
          <w:szCs w:val="24"/>
        </w:rPr>
        <w:t xml:space="preserve"> for stock financing fell by 6.94% compared to the previous year (Figure </w:t>
      </w:r>
      <w:r>
        <w:rPr>
          <w:rFonts w:ascii="Times New Roman" w:hAnsi="Times New Roman" w:cs="Times New Roman"/>
          <w:sz w:val="24"/>
          <w:szCs w:val="24"/>
        </w:rPr>
        <w:t xml:space="preserve">no. </w:t>
      </w:r>
      <w:r w:rsidRPr="003E3992">
        <w:rPr>
          <w:rFonts w:ascii="Times New Roman" w:hAnsi="Times New Roman" w:cs="Times New Roman"/>
          <w:sz w:val="24"/>
          <w:szCs w:val="24"/>
        </w:rPr>
        <w:t>3).</w:t>
      </w:r>
    </w:p>
    <w:p w:rsidR="00154B73" w:rsidRDefault="00154B73" w:rsidP="00154B73">
      <w:pPr>
        <w:keepNext/>
        <w:spacing w:after="0" w:line="240" w:lineRule="auto"/>
        <w:jc w:val="both"/>
      </w:pPr>
      <w:r>
        <w:rPr>
          <w:rFonts w:ascii="Times New Roman" w:hAnsi="Times New Roman" w:cs="Times New Roman"/>
          <w:noProof/>
          <w:sz w:val="24"/>
          <w:szCs w:val="24"/>
          <w:lang w:eastAsia="ro-RO"/>
        </w:rPr>
        <w:drawing>
          <wp:inline distT="0" distB="0" distL="0" distR="0" wp14:anchorId="518E3EB4" wp14:editId="590867B1">
            <wp:extent cx="5890260" cy="3192780"/>
            <wp:effectExtent l="0" t="0" r="15240" b="762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54B73" w:rsidRPr="00677F87" w:rsidRDefault="003E3992" w:rsidP="00154B73">
      <w:pPr>
        <w:pStyle w:val="Caption"/>
        <w:spacing w:after="0"/>
        <w:jc w:val="center"/>
        <w:rPr>
          <w:rFonts w:ascii="Times New Roman" w:hAnsi="Times New Roman" w:cs="Times New Roman"/>
          <w:b/>
          <w:i w:val="0"/>
          <w:color w:val="auto"/>
          <w:sz w:val="20"/>
          <w:szCs w:val="20"/>
        </w:rPr>
      </w:pPr>
      <w:bookmarkStart w:id="2" w:name="_Toc517698243"/>
      <w:r>
        <w:rPr>
          <w:rFonts w:ascii="Times New Roman" w:hAnsi="Times New Roman" w:cs="Times New Roman"/>
          <w:b/>
          <w:i w:val="0"/>
          <w:color w:val="auto"/>
          <w:sz w:val="20"/>
          <w:szCs w:val="20"/>
        </w:rPr>
        <w:t>Figure no</w:t>
      </w:r>
      <w:r w:rsidR="00274648">
        <w:rPr>
          <w:rFonts w:ascii="Times New Roman" w:hAnsi="Times New Roman" w:cs="Times New Roman"/>
          <w:b/>
          <w:i w:val="0"/>
          <w:color w:val="auto"/>
          <w:sz w:val="20"/>
          <w:szCs w:val="20"/>
        </w:rPr>
        <w:t xml:space="preserve">. </w:t>
      </w:r>
      <w:r w:rsidR="00F31E10">
        <w:rPr>
          <w:rFonts w:ascii="Times New Roman" w:hAnsi="Times New Roman" w:cs="Times New Roman"/>
          <w:b/>
          <w:i w:val="0"/>
          <w:color w:val="auto"/>
          <w:sz w:val="20"/>
          <w:szCs w:val="20"/>
        </w:rPr>
        <w:t>3</w:t>
      </w:r>
      <w:r w:rsidR="00154B73" w:rsidRPr="00677F87">
        <w:rPr>
          <w:rFonts w:ascii="Times New Roman" w:hAnsi="Times New Roman" w:cs="Times New Roman"/>
          <w:b/>
          <w:i w:val="0"/>
          <w:color w:val="auto"/>
          <w:sz w:val="20"/>
          <w:szCs w:val="20"/>
        </w:rPr>
        <w:t xml:space="preserve">. </w:t>
      </w:r>
      <w:bookmarkEnd w:id="2"/>
      <w:r w:rsidR="00270655">
        <w:rPr>
          <w:rFonts w:ascii="Times New Roman" w:hAnsi="Times New Roman" w:cs="Times New Roman"/>
          <w:b/>
          <w:i w:val="0"/>
          <w:color w:val="auto"/>
          <w:sz w:val="20"/>
          <w:szCs w:val="20"/>
        </w:rPr>
        <w:t xml:space="preserve">The </w:t>
      </w:r>
      <w:r>
        <w:rPr>
          <w:rFonts w:ascii="Times New Roman" w:hAnsi="Times New Roman" w:cs="Times New Roman"/>
          <w:b/>
          <w:i w:val="0"/>
          <w:color w:val="auto"/>
          <w:sz w:val="20"/>
          <w:szCs w:val="20"/>
        </w:rPr>
        <w:t>evolution of</w:t>
      </w:r>
      <w:r w:rsidRPr="003E3992">
        <w:rPr>
          <w:rFonts w:ascii="Times New Roman" w:hAnsi="Times New Roman" w:cs="Times New Roman"/>
          <w:b/>
          <w:i w:val="0"/>
          <w:color w:val="auto"/>
          <w:sz w:val="20"/>
          <w:szCs w:val="20"/>
        </w:rPr>
        <w:t xml:space="preserve"> credits </w:t>
      </w:r>
      <w:r>
        <w:rPr>
          <w:rFonts w:ascii="Times New Roman" w:hAnsi="Times New Roman" w:cs="Times New Roman"/>
          <w:b/>
          <w:i w:val="0"/>
          <w:color w:val="auto"/>
          <w:sz w:val="20"/>
          <w:szCs w:val="20"/>
        </w:rPr>
        <w:t xml:space="preserve">granted </w:t>
      </w:r>
      <w:r w:rsidRPr="003E3992">
        <w:rPr>
          <w:rFonts w:ascii="Times New Roman" w:hAnsi="Times New Roman" w:cs="Times New Roman"/>
          <w:b/>
          <w:i w:val="0"/>
          <w:color w:val="auto"/>
          <w:sz w:val="20"/>
          <w:szCs w:val="20"/>
        </w:rPr>
        <w:t>to commercial companies by destination, 2012-2017</w:t>
      </w:r>
    </w:p>
    <w:p w:rsidR="00154B73" w:rsidRDefault="003E3992" w:rsidP="003664B0">
      <w:pPr>
        <w:spacing w:after="0"/>
        <w:jc w:val="center"/>
        <w:rPr>
          <w:rFonts w:ascii="Times New Roman" w:hAnsi="Times New Roman" w:cs="Times New Roman"/>
        </w:rPr>
      </w:pPr>
      <w:r>
        <w:rPr>
          <w:rFonts w:ascii="Times New Roman" w:hAnsi="Times New Roman" w:cs="Times New Roman"/>
          <w:i/>
        </w:rPr>
        <w:t>Sourse</w:t>
      </w:r>
      <w:r w:rsidRPr="007B60F3">
        <w:rPr>
          <w:rFonts w:ascii="Times New Roman" w:hAnsi="Times New Roman" w:cs="Times New Roman"/>
          <w:i/>
        </w:rPr>
        <w:t>:</w:t>
      </w:r>
      <w:r w:rsidRPr="007B60F3">
        <w:rPr>
          <w:rFonts w:ascii="Times New Roman" w:hAnsi="Times New Roman" w:cs="Times New Roman"/>
        </w:rPr>
        <w:t xml:space="preserve"> </w:t>
      </w:r>
      <w:r w:rsidRPr="00617D69">
        <w:rPr>
          <w:rFonts w:ascii="Times New Roman" w:hAnsi="Times New Roman" w:cs="Times New Roman"/>
          <w:i/>
        </w:rPr>
        <w:t xml:space="preserve">processing by authors after </w:t>
      </w:r>
      <w:hyperlink r:id="rId13" w:history="1">
        <w:r w:rsidR="003664B0" w:rsidRPr="0098126E">
          <w:rPr>
            <w:rStyle w:val="Hyperlink"/>
            <w:rFonts w:ascii="Times New Roman" w:hAnsi="Times New Roman" w:cs="Times New Roman"/>
          </w:rPr>
          <w:t>www.bnro.ro</w:t>
        </w:r>
      </w:hyperlink>
    </w:p>
    <w:p w:rsidR="00125B2B" w:rsidRDefault="00125B2B" w:rsidP="00154B73">
      <w:pPr>
        <w:spacing w:after="0"/>
        <w:ind w:firstLine="567"/>
        <w:jc w:val="both"/>
        <w:rPr>
          <w:rFonts w:ascii="Times New Roman" w:hAnsi="Times New Roman" w:cs="Times New Roman"/>
          <w:sz w:val="24"/>
          <w:szCs w:val="24"/>
        </w:rPr>
      </w:pPr>
    </w:p>
    <w:p w:rsidR="00270655" w:rsidRPr="00103628" w:rsidRDefault="00270655" w:rsidP="00154B73">
      <w:pPr>
        <w:spacing w:after="0"/>
        <w:ind w:firstLine="567"/>
        <w:jc w:val="both"/>
        <w:rPr>
          <w:rFonts w:ascii="Times New Roman" w:hAnsi="Times New Roman" w:cs="Times New Roman"/>
          <w:sz w:val="24"/>
          <w:szCs w:val="24"/>
        </w:rPr>
      </w:pPr>
      <w:r w:rsidRPr="00270655">
        <w:rPr>
          <w:rFonts w:ascii="Times New Roman" w:hAnsi="Times New Roman" w:cs="Times New Roman"/>
          <w:sz w:val="24"/>
          <w:szCs w:val="24"/>
        </w:rPr>
        <w:t xml:space="preserve">In 2017 commercial companies borrowed </w:t>
      </w:r>
      <w:r>
        <w:rPr>
          <w:rFonts w:ascii="Times New Roman" w:hAnsi="Times New Roman" w:cs="Times New Roman"/>
          <w:sz w:val="24"/>
          <w:szCs w:val="24"/>
        </w:rPr>
        <w:t xml:space="preserve">loans </w:t>
      </w:r>
      <w:r w:rsidRPr="00270655">
        <w:rPr>
          <w:rFonts w:ascii="Times New Roman" w:hAnsi="Times New Roman" w:cs="Times New Roman"/>
          <w:sz w:val="24"/>
          <w:szCs w:val="24"/>
        </w:rPr>
        <w:t xml:space="preserve">in particular to cover their liquidity needs for operating activities, treasury credits </w:t>
      </w:r>
      <w:r w:rsidR="0090375B">
        <w:rPr>
          <w:rFonts w:ascii="Times New Roman" w:hAnsi="Times New Roman" w:cs="Times New Roman"/>
          <w:sz w:val="24"/>
          <w:szCs w:val="24"/>
        </w:rPr>
        <w:t>having a weight of 32.95% in</w:t>
      </w:r>
      <w:r w:rsidR="0090375B" w:rsidRPr="0090375B">
        <w:rPr>
          <w:rFonts w:ascii="Times New Roman" w:hAnsi="Times New Roman" w:cs="Times New Roman"/>
          <w:sz w:val="24"/>
          <w:szCs w:val="24"/>
        </w:rPr>
        <w:t xml:space="preserve"> total loans to enterprises.</w:t>
      </w:r>
      <w:r w:rsidRPr="00270655">
        <w:rPr>
          <w:rFonts w:ascii="Times New Roman" w:hAnsi="Times New Roman" w:cs="Times New Roman"/>
          <w:sz w:val="24"/>
          <w:szCs w:val="24"/>
        </w:rPr>
        <w:t xml:space="preserve"> Companies also invested in the acquisition of equipment (18.20%) and </w:t>
      </w:r>
      <w:r w:rsidR="00294DE2">
        <w:rPr>
          <w:rFonts w:ascii="Times New Roman" w:hAnsi="Times New Roman" w:cs="Times New Roman"/>
          <w:sz w:val="24"/>
          <w:szCs w:val="24"/>
        </w:rPr>
        <w:t>in real estate</w:t>
      </w:r>
      <w:r w:rsidRPr="00270655">
        <w:rPr>
          <w:rFonts w:ascii="Times New Roman" w:hAnsi="Times New Roman" w:cs="Times New Roman"/>
          <w:sz w:val="24"/>
          <w:szCs w:val="24"/>
        </w:rPr>
        <w:t xml:space="preserve"> (17.45%). At the opposite end, there are credits for financing foreign trade operations, with a share of only 0,02% (Figure </w:t>
      </w:r>
      <w:r w:rsidR="0090375B">
        <w:rPr>
          <w:rFonts w:ascii="Times New Roman" w:hAnsi="Times New Roman" w:cs="Times New Roman"/>
          <w:sz w:val="24"/>
          <w:szCs w:val="24"/>
        </w:rPr>
        <w:t xml:space="preserve">no. </w:t>
      </w:r>
      <w:r w:rsidRPr="00270655">
        <w:rPr>
          <w:rFonts w:ascii="Times New Roman" w:hAnsi="Times New Roman" w:cs="Times New Roman"/>
          <w:sz w:val="24"/>
          <w:szCs w:val="24"/>
        </w:rPr>
        <w:t>4).</w:t>
      </w:r>
    </w:p>
    <w:p w:rsidR="00154B73" w:rsidRDefault="00154B73" w:rsidP="00154B73">
      <w:pPr>
        <w:spacing w:after="0" w:line="240" w:lineRule="auto"/>
        <w:ind w:firstLine="567"/>
        <w:jc w:val="both"/>
        <w:rPr>
          <w:rFonts w:ascii="Times New Roman" w:hAnsi="Times New Roman" w:cs="Times New Roman"/>
          <w:sz w:val="24"/>
          <w:szCs w:val="24"/>
        </w:rPr>
      </w:pPr>
    </w:p>
    <w:p w:rsidR="00154B73" w:rsidRDefault="00154B73" w:rsidP="00154B73">
      <w:pPr>
        <w:keepNext/>
        <w:spacing w:after="0" w:line="240" w:lineRule="auto"/>
        <w:jc w:val="both"/>
      </w:pPr>
      <w:r>
        <w:rPr>
          <w:rFonts w:ascii="Times New Roman" w:hAnsi="Times New Roman" w:cs="Times New Roman"/>
          <w:noProof/>
          <w:sz w:val="24"/>
          <w:szCs w:val="24"/>
          <w:lang w:eastAsia="ro-RO"/>
        </w:rPr>
        <w:drawing>
          <wp:inline distT="0" distB="0" distL="0" distR="0" wp14:anchorId="0CF76672" wp14:editId="0A21D698">
            <wp:extent cx="5791200" cy="2750820"/>
            <wp:effectExtent l="0" t="0" r="0" b="1143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54B73" w:rsidRPr="00103628" w:rsidRDefault="007C64EF" w:rsidP="00154B73">
      <w:pPr>
        <w:pStyle w:val="Caption"/>
        <w:spacing w:after="0"/>
        <w:jc w:val="center"/>
        <w:rPr>
          <w:rFonts w:ascii="Times New Roman" w:hAnsi="Times New Roman" w:cs="Times New Roman"/>
          <w:b/>
          <w:i w:val="0"/>
          <w:color w:val="auto"/>
          <w:sz w:val="20"/>
          <w:szCs w:val="20"/>
        </w:rPr>
      </w:pPr>
      <w:bookmarkStart w:id="3" w:name="_Toc517698244"/>
      <w:r>
        <w:rPr>
          <w:rFonts w:ascii="Times New Roman" w:hAnsi="Times New Roman" w:cs="Times New Roman"/>
          <w:b/>
          <w:i w:val="0"/>
          <w:color w:val="auto"/>
          <w:sz w:val="20"/>
          <w:szCs w:val="20"/>
        </w:rPr>
        <w:t>Figure no</w:t>
      </w:r>
      <w:r w:rsidR="00445CD8">
        <w:rPr>
          <w:rFonts w:ascii="Times New Roman" w:hAnsi="Times New Roman" w:cs="Times New Roman"/>
          <w:b/>
          <w:i w:val="0"/>
          <w:color w:val="auto"/>
          <w:sz w:val="20"/>
          <w:szCs w:val="20"/>
        </w:rPr>
        <w:t xml:space="preserve">. </w:t>
      </w:r>
      <w:r w:rsidR="00BD073F">
        <w:rPr>
          <w:rFonts w:ascii="Times New Roman" w:hAnsi="Times New Roman" w:cs="Times New Roman"/>
          <w:b/>
          <w:i w:val="0"/>
          <w:color w:val="auto"/>
          <w:sz w:val="20"/>
          <w:szCs w:val="20"/>
        </w:rPr>
        <w:t>4</w:t>
      </w:r>
      <w:r w:rsidR="00154B73" w:rsidRPr="00103628">
        <w:rPr>
          <w:rFonts w:ascii="Times New Roman" w:hAnsi="Times New Roman" w:cs="Times New Roman"/>
          <w:b/>
          <w:i w:val="0"/>
          <w:color w:val="auto"/>
          <w:sz w:val="20"/>
          <w:szCs w:val="20"/>
        </w:rPr>
        <w:t xml:space="preserve">. </w:t>
      </w:r>
      <w:bookmarkEnd w:id="3"/>
      <w:r w:rsidRPr="007C64EF">
        <w:rPr>
          <w:rFonts w:ascii="Times New Roman" w:hAnsi="Times New Roman" w:cs="Times New Roman"/>
          <w:b/>
          <w:i w:val="0"/>
          <w:color w:val="auto"/>
          <w:sz w:val="20"/>
          <w:szCs w:val="20"/>
        </w:rPr>
        <w:t xml:space="preserve">Share of credits </w:t>
      </w:r>
      <w:r>
        <w:rPr>
          <w:rFonts w:ascii="Times New Roman" w:hAnsi="Times New Roman" w:cs="Times New Roman"/>
          <w:b/>
          <w:i w:val="0"/>
          <w:color w:val="auto"/>
          <w:sz w:val="20"/>
          <w:szCs w:val="20"/>
        </w:rPr>
        <w:t>granted</w:t>
      </w:r>
      <w:r w:rsidRPr="007C64EF">
        <w:rPr>
          <w:rFonts w:ascii="Times New Roman" w:hAnsi="Times New Roman" w:cs="Times New Roman"/>
          <w:b/>
          <w:i w:val="0"/>
          <w:color w:val="auto"/>
          <w:sz w:val="20"/>
          <w:szCs w:val="20"/>
        </w:rPr>
        <w:t xml:space="preserve"> to enterprises by destination, </w:t>
      </w:r>
      <w:r>
        <w:rPr>
          <w:rFonts w:ascii="Times New Roman" w:hAnsi="Times New Roman" w:cs="Times New Roman"/>
          <w:b/>
          <w:i w:val="0"/>
          <w:color w:val="auto"/>
          <w:sz w:val="20"/>
          <w:szCs w:val="20"/>
        </w:rPr>
        <w:t xml:space="preserve">in </w:t>
      </w:r>
      <w:r w:rsidRPr="007C64EF">
        <w:rPr>
          <w:rFonts w:ascii="Times New Roman" w:hAnsi="Times New Roman" w:cs="Times New Roman"/>
          <w:b/>
          <w:i w:val="0"/>
          <w:color w:val="auto"/>
          <w:sz w:val="20"/>
          <w:szCs w:val="20"/>
        </w:rPr>
        <w:t>2017</w:t>
      </w:r>
    </w:p>
    <w:p w:rsidR="00D1671F" w:rsidRDefault="00D1671F" w:rsidP="00591E18">
      <w:pPr>
        <w:spacing w:after="0"/>
        <w:jc w:val="center"/>
        <w:rPr>
          <w:rFonts w:ascii="Times New Roman" w:hAnsi="Times New Roman" w:cs="Times New Roman"/>
        </w:rPr>
      </w:pPr>
      <w:r>
        <w:rPr>
          <w:rFonts w:ascii="Times New Roman" w:hAnsi="Times New Roman" w:cs="Times New Roman"/>
          <w:i/>
        </w:rPr>
        <w:t>Sourse</w:t>
      </w:r>
      <w:r w:rsidRPr="007B60F3">
        <w:rPr>
          <w:rFonts w:ascii="Times New Roman" w:hAnsi="Times New Roman" w:cs="Times New Roman"/>
          <w:i/>
        </w:rPr>
        <w:t>:</w:t>
      </w:r>
      <w:r w:rsidRPr="007B60F3">
        <w:rPr>
          <w:rFonts w:ascii="Times New Roman" w:hAnsi="Times New Roman" w:cs="Times New Roman"/>
        </w:rPr>
        <w:t xml:space="preserve"> </w:t>
      </w:r>
      <w:r w:rsidRPr="00617D69">
        <w:rPr>
          <w:rFonts w:ascii="Times New Roman" w:hAnsi="Times New Roman" w:cs="Times New Roman"/>
          <w:i/>
        </w:rPr>
        <w:t xml:space="preserve">processing by authors after </w:t>
      </w:r>
      <w:hyperlink r:id="rId15" w:history="1">
        <w:r w:rsidR="00591E18" w:rsidRPr="0098126E">
          <w:rPr>
            <w:rStyle w:val="Hyperlink"/>
            <w:rFonts w:ascii="Times New Roman" w:hAnsi="Times New Roman" w:cs="Times New Roman"/>
          </w:rPr>
          <w:t>www.bnro.ro</w:t>
        </w:r>
      </w:hyperlink>
      <w:bookmarkStart w:id="4" w:name="_GoBack"/>
      <w:bookmarkEnd w:id="4"/>
    </w:p>
    <w:p w:rsidR="00125B2B" w:rsidRPr="0002766F" w:rsidRDefault="00125B2B" w:rsidP="0002766F">
      <w:pPr>
        <w:spacing w:after="0"/>
        <w:jc w:val="center"/>
        <w:rPr>
          <w:rFonts w:ascii="Times New Roman" w:hAnsi="Times New Roman" w:cs="Times New Roman"/>
          <w:color w:val="6B9F25" w:themeColor="hyperlink"/>
          <w:u w:val="single"/>
        </w:rPr>
      </w:pPr>
    </w:p>
    <w:p w:rsidR="00BD073F" w:rsidRDefault="003D546A" w:rsidP="00BD073F">
      <w:pPr>
        <w:pStyle w:val="ListParagraph"/>
        <w:numPr>
          <w:ilvl w:val="0"/>
          <w:numId w:val="5"/>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CONCLUS</w:t>
      </w:r>
      <w:r w:rsidR="00D25887">
        <w:rPr>
          <w:rFonts w:ascii="Times New Roman" w:hAnsi="Times New Roman" w:cs="Times New Roman"/>
          <w:b/>
          <w:sz w:val="24"/>
          <w:szCs w:val="24"/>
        </w:rPr>
        <w:t>IONS</w:t>
      </w:r>
    </w:p>
    <w:p w:rsidR="00591E18" w:rsidRPr="00BD073F" w:rsidRDefault="00591E18" w:rsidP="00591E18">
      <w:pPr>
        <w:pStyle w:val="ListParagraph"/>
        <w:spacing w:after="0" w:line="240" w:lineRule="auto"/>
        <w:ind w:left="1288"/>
        <w:jc w:val="both"/>
        <w:rPr>
          <w:rFonts w:ascii="Times New Roman" w:hAnsi="Times New Roman" w:cs="Times New Roman"/>
          <w:b/>
          <w:sz w:val="24"/>
          <w:szCs w:val="24"/>
        </w:rPr>
      </w:pPr>
    </w:p>
    <w:p w:rsidR="00935911" w:rsidRDefault="00935911" w:rsidP="00DB585E">
      <w:pPr>
        <w:spacing w:after="0" w:line="240" w:lineRule="auto"/>
        <w:ind w:firstLine="567"/>
        <w:jc w:val="both"/>
        <w:rPr>
          <w:rFonts w:ascii="Times New Roman" w:hAnsi="Times New Roman" w:cs="Times New Roman"/>
          <w:sz w:val="24"/>
          <w:szCs w:val="24"/>
        </w:rPr>
      </w:pPr>
      <w:r w:rsidRPr="00935911">
        <w:rPr>
          <w:rFonts w:ascii="Times New Roman" w:hAnsi="Times New Roman" w:cs="Times New Roman"/>
          <w:sz w:val="24"/>
          <w:szCs w:val="24"/>
        </w:rPr>
        <w:t xml:space="preserve">Lending has both advantages and disadvantages. </w:t>
      </w:r>
      <w:r w:rsidR="008D32E0">
        <w:rPr>
          <w:rFonts w:ascii="Times New Roman" w:hAnsi="Times New Roman" w:cs="Times New Roman"/>
          <w:sz w:val="24"/>
          <w:szCs w:val="24"/>
        </w:rPr>
        <w:t>The c</w:t>
      </w:r>
      <w:r w:rsidRPr="00935911">
        <w:rPr>
          <w:rFonts w:ascii="Times New Roman" w:hAnsi="Times New Roman" w:cs="Times New Roman"/>
          <w:sz w:val="24"/>
          <w:szCs w:val="24"/>
        </w:rPr>
        <w:t>redit can be good when used wisely. It can improve the standard of living of a family or help develop your business. But it is important to remember that this loan is not free of charge. Buying "on time" means paying interest and taxes in the future.</w:t>
      </w:r>
    </w:p>
    <w:p w:rsidR="008D32E0" w:rsidRDefault="008D32E0" w:rsidP="00DB585E">
      <w:pPr>
        <w:spacing w:after="0" w:line="240" w:lineRule="auto"/>
        <w:ind w:firstLine="567"/>
        <w:jc w:val="both"/>
        <w:rPr>
          <w:rFonts w:ascii="Times New Roman" w:hAnsi="Times New Roman" w:cs="Times New Roman"/>
          <w:sz w:val="24"/>
          <w:szCs w:val="24"/>
        </w:rPr>
      </w:pPr>
      <w:r w:rsidRPr="008D32E0">
        <w:rPr>
          <w:rFonts w:ascii="Times New Roman" w:hAnsi="Times New Roman" w:cs="Times New Roman"/>
          <w:sz w:val="24"/>
          <w:szCs w:val="24"/>
        </w:rPr>
        <w:t>Banks face a multitude of risks that can be caused by various factors. We have to look at banking risks as a set of risks, often interdependent, having common determinants or producing a risk generating other risks, in the form of domino effect. Thus, relationships of interdependence or dependence may arise between the types of risks.</w:t>
      </w:r>
    </w:p>
    <w:p w:rsidR="008D32E0" w:rsidRDefault="008D32E0" w:rsidP="007D43F6">
      <w:pPr>
        <w:spacing w:after="0" w:line="240" w:lineRule="auto"/>
        <w:ind w:firstLine="567"/>
        <w:jc w:val="both"/>
        <w:rPr>
          <w:rFonts w:ascii="Times New Roman" w:hAnsi="Times New Roman" w:cs="Times New Roman"/>
          <w:sz w:val="24"/>
          <w:szCs w:val="24"/>
        </w:rPr>
      </w:pPr>
      <w:r w:rsidRPr="008D32E0">
        <w:rPr>
          <w:rFonts w:ascii="Times New Roman" w:hAnsi="Times New Roman" w:cs="Times New Roman"/>
          <w:sz w:val="24"/>
          <w:szCs w:val="24"/>
        </w:rPr>
        <w:t>As regards the activity of the companies that contracted loans</w:t>
      </w:r>
      <w:r>
        <w:rPr>
          <w:rFonts w:ascii="Times New Roman" w:hAnsi="Times New Roman" w:cs="Times New Roman"/>
          <w:sz w:val="24"/>
          <w:szCs w:val="24"/>
        </w:rPr>
        <w:t xml:space="preserve"> (credits)</w:t>
      </w:r>
      <w:r w:rsidRPr="008D32E0">
        <w:rPr>
          <w:rFonts w:ascii="Times New Roman" w:hAnsi="Times New Roman" w:cs="Times New Roman"/>
          <w:sz w:val="24"/>
          <w:szCs w:val="24"/>
        </w:rPr>
        <w:t xml:space="preserve"> in 2017, the highest share is occupied by the services sector (45%), followed by the industry by 31% and the constructions by 11%, while the lowest share is held by agriculture by 8% and the activities of financial intermediation and insurance (5%).</w:t>
      </w:r>
    </w:p>
    <w:p w:rsidR="008D32E0" w:rsidRDefault="008D32E0" w:rsidP="007D43F6">
      <w:pPr>
        <w:spacing w:after="0" w:line="240" w:lineRule="auto"/>
        <w:ind w:firstLine="567"/>
        <w:jc w:val="both"/>
        <w:rPr>
          <w:rFonts w:ascii="Times New Roman" w:hAnsi="Times New Roman" w:cs="Times New Roman"/>
          <w:sz w:val="24"/>
          <w:szCs w:val="24"/>
        </w:rPr>
      </w:pPr>
      <w:r w:rsidRPr="008D32E0">
        <w:rPr>
          <w:rFonts w:ascii="Times New Roman" w:hAnsi="Times New Roman" w:cs="Times New Roman"/>
          <w:sz w:val="24"/>
          <w:szCs w:val="24"/>
        </w:rPr>
        <w:t>Regarding the evolution of the credits granted to the companies on different types of activities, during 2010-2017, it can be noticed that the most pronounced increase is registered in the services sector. However, in 2017 loans for financial intermediation and insurance activities increased by 21.17% compared to 2016, while loans for services rose by only 4.8%. A decrease compared to 2016 is recorded in the construction sector by -2.93%.</w:t>
      </w:r>
    </w:p>
    <w:p w:rsidR="0090375B" w:rsidRPr="00417006" w:rsidRDefault="008D32E0" w:rsidP="003664B0">
      <w:pPr>
        <w:spacing w:after="0" w:line="240" w:lineRule="auto"/>
        <w:ind w:firstLine="567"/>
        <w:jc w:val="both"/>
        <w:rPr>
          <w:rFonts w:ascii="Times New Roman" w:hAnsi="Times New Roman" w:cs="Times New Roman"/>
          <w:sz w:val="24"/>
          <w:szCs w:val="24"/>
        </w:rPr>
      </w:pPr>
      <w:r w:rsidRPr="008D32E0">
        <w:rPr>
          <w:rFonts w:ascii="Times New Roman" w:hAnsi="Times New Roman" w:cs="Times New Roman"/>
          <w:sz w:val="24"/>
          <w:szCs w:val="24"/>
        </w:rPr>
        <w:t>The last years were characterized by the growth of credit in the private sector, especially for households, and the fact that lei loans are the main driver of credit growth in Romania.</w:t>
      </w:r>
      <w:r w:rsidR="007D43F6">
        <w:rPr>
          <w:rFonts w:ascii="Times New Roman" w:hAnsi="Times New Roman" w:cs="Times New Roman"/>
          <w:sz w:val="24"/>
          <w:szCs w:val="24"/>
        </w:rPr>
        <w:t xml:space="preserve"> </w:t>
      </w:r>
    </w:p>
    <w:p w:rsidR="00125B2B" w:rsidRDefault="00125B2B" w:rsidP="00A100E4">
      <w:pPr>
        <w:spacing w:line="240" w:lineRule="auto"/>
        <w:rPr>
          <w:rFonts w:ascii="Times New Roman" w:hAnsi="Times New Roman" w:cs="Times New Roman"/>
          <w:b/>
          <w:sz w:val="24"/>
          <w:szCs w:val="24"/>
        </w:rPr>
      </w:pPr>
    </w:p>
    <w:p w:rsidR="00154B73" w:rsidRPr="00BD073F" w:rsidRDefault="00C13ACC" w:rsidP="00417006">
      <w:pPr>
        <w:spacing w:line="240" w:lineRule="auto"/>
        <w:ind w:firstLine="567"/>
        <w:rPr>
          <w:rFonts w:ascii="Times New Roman" w:hAnsi="Times New Roman" w:cs="Times New Roman"/>
          <w:b/>
          <w:sz w:val="24"/>
          <w:szCs w:val="24"/>
        </w:rPr>
      </w:pPr>
      <w:r>
        <w:rPr>
          <w:rFonts w:ascii="Times New Roman" w:hAnsi="Times New Roman" w:cs="Times New Roman"/>
          <w:b/>
          <w:sz w:val="24"/>
          <w:szCs w:val="24"/>
        </w:rPr>
        <w:t>REFERENCES</w:t>
      </w:r>
    </w:p>
    <w:p w:rsidR="00154B73" w:rsidRPr="00C45C7F" w:rsidRDefault="00154B73" w:rsidP="00417006">
      <w:pPr>
        <w:pStyle w:val="ListParagraph"/>
        <w:numPr>
          <w:ilvl w:val="0"/>
          <w:numId w:val="3"/>
        </w:numPr>
        <w:spacing w:line="240" w:lineRule="auto"/>
        <w:ind w:hanging="361"/>
        <w:jc w:val="both"/>
        <w:rPr>
          <w:rFonts w:ascii="Times New Roman" w:hAnsi="Times New Roman" w:cs="Times New Roman"/>
        </w:rPr>
      </w:pPr>
      <w:r w:rsidRPr="00C45C7F">
        <w:rPr>
          <w:rFonts w:ascii="Times New Roman" w:hAnsi="Times New Roman" w:cs="Times New Roman"/>
        </w:rPr>
        <w:t xml:space="preserve">Albu-Cîrnu Iulia, 2002, </w:t>
      </w:r>
      <w:r w:rsidRPr="00C45C7F">
        <w:rPr>
          <w:rFonts w:ascii="Times New Roman" w:hAnsi="Times New Roman" w:cs="Times New Roman"/>
          <w:i/>
        </w:rPr>
        <w:t>Asigurarea creditului</w:t>
      </w:r>
      <w:r w:rsidRPr="00C45C7F">
        <w:rPr>
          <w:rFonts w:ascii="Times New Roman" w:hAnsi="Times New Roman" w:cs="Times New Roman"/>
        </w:rPr>
        <w:t>, Editura Rosetti, Bucureşti;</w:t>
      </w:r>
    </w:p>
    <w:p w:rsidR="00C45C7F" w:rsidRDefault="00EA3315" w:rsidP="00D73EF6">
      <w:pPr>
        <w:pStyle w:val="ListParagraph"/>
        <w:numPr>
          <w:ilvl w:val="0"/>
          <w:numId w:val="3"/>
        </w:numPr>
        <w:spacing w:line="240" w:lineRule="auto"/>
        <w:ind w:hanging="361"/>
        <w:jc w:val="both"/>
        <w:rPr>
          <w:rFonts w:ascii="Times New Roman" w:hAnsi="Times New Roman" w:cs="Times New Roman"/>
        </w:rPr>
      </w:pPr>
      <w:r w:rsidRPr="00C45C7F">
        <w:rPr>
          <w:rFonts w:ascii="Times New Roman" w:hAnsi="Times New Roman" w:cs="Times New Roman"/>
          <w:iCs/>
        </w:rPr>
        <w:t>Anişoara Niculina APETRI</w:t>
      </w:r>
      <w:r w:rsidRPr="00C45C7F">
        <w:rPr>
          <w:rFonts w:ascii="Times New Roman" w:hAnsi="Times New Roman" w:cs="Times New Roman"/>
          <w:b/>
          <w:bCs/>
          <w:i/>
        </w:rPr>
        <w:t>,</w:t>
      </w:r>
      <w:r w:rsidRPr="00C45C7F">
        <w:rPr>
          <w:rFonts w:ascii="Times New Roman" w:hAnsi="Times New Roman" w:cs="Times New Roman"/>
          <w:bCs/>
        </w:rPr>
        <w:t xml:space="preserve"> Iuliana Oana Mihai, </w:t>
      </w:r>
      <w:r w:rsidRPr="00C45C7F">
        <w:rPr>
          <w:rFonts w:ascii="Times New Roman" w:hAnsi="Times New Roman" w:cs="Times New Roman"/>
        </w:rPr>
        <w:t xml:space="preserve">Camelia Catalina Mihalciuc, </w:t>
      </w:r>
      <w:r w:rsidRPr="00C45C7F">
        <w:rPr>
          <w:rFonts w:ascii="Times New Roman" w:hAnsi="Times New Roman" w:cs="Times New Roman"/>
          <w:bCs/>
        </w:rPr>
        <w:t xml:space="preserve"> </w:t>
      </w:r>
      <w:r w:rsidR="00C45C7F">
        <w:rPr>
          <w:rFonts w:ascii="Times New Roman" w:hAnsi="Times New Roman" w:cs="Times New Roman"/>
          <w:bCs/>
        </w:rPr>
        <w:t xml:space="preserve">2010, </w:t>
      </w:r>
      <w:r w:rsidRPr="00C45C7F">
        <w:rPr>
          <w:rFonts w:ascii="Times New Roman" w:hAnsi="Times New Roman" w:cs="Times New Roman"/>
          <w:i/>
          <w:iCs/>
        </w:rPr>
        <w:t>Structural and</w:t>
      </w:r>
      <w:r w:rsidRPr="00C45C7F">
        <w:rPr>
          <w:rFonts w:ascii="Times New Roman" w:hAnsi="Times New Roman" w:cs="Times New Roman"/>
          <w:b/>
          <w:i/>
          <w:iCs/>
        </w:rPr>
        <w:t xml:space="preserve"> </w:t>
      </w:r>
      <w:r w:rsidRPr="00C45C7F">
        <w:rPr>
          <w:rFonts w:ascii="Times New Roman" w:hAnsi="Times New Roman" w:cs="Times New Roman"/>
          <w:i/>
          <w:iCs/>
        </w:rPr>
        <w:t>Qualitative Analysis of the Romanian Banking System</w:t>
      </w:r>
      <w:r w:rsidRPr="00C45C7F">
        <w:rPr>
          <w:rFonts w:ascii="Times New Roman" w:hAnsi="Times New Roman" w:cs="Times New Roman"/>
          <w:bCs/>
          <w:i/>
          <w:iCs/>
        </w:rPr>
        <w:t xml:space="preserve">, </w:t>
      </w:r>
      <w:r w:rsidRPr="00C45C7F">
        <w:rPr>
          <w:rFonts w:ascii="Times New Roman" w:hAnsi="Times New Roman" w:cs="Times New Roman"/>
        </w:rPr>
        <w:t>Annals of “Dunarea de Jos” Univer</w:t>
      </w:r>
      <w:r w:rsidR="00C45C7F">
        <w:rPr>
          <w:rFonts w:ascii="Times New Roman" w:hAnsi="Times New Roman" w:cs="Times New Roman"/>
        </w:rPr>
        <w:t>sity of Galati Fascicle I</w:t>
      </w:r>
      <w:r w:rsidRPr="00C45C7F">
        <w:rPr>
          <w:rFonts w:ascii="Times New Roman" w:hAnsi="Times New Roman" w:cs="Times New Roman"/>
        </w:rPr>
        <w:t>,  Economics and Applied Informatics. Years X</w:t>
      </w:r>
      <w:r w:rsidR="00C45C7F">
        <w:rPr>
          <w:rFonts w:ascii="Times New Roman" w:hAnsi="Times New Roman" w:cs="Times New Roman"/>
        </w:rPr>
        <w:t>VI – no 2 .</w:t>
      </w:r>
    </w:p>
    <w:p w:rsidR="00EA3315" w:rsidRPr="00C45C7F" w:rsidRDefault="00EA3315" w:rsidP="00D73EF6">
      <w:pPr>
        <w:pStyle w:val="ListParagraph"/>
        <w:numPr>
          <w:ilvl w:val="0"/>
          <w:numId w:val="3"/>
        </w:numPr>
        <w:spacing w:line="240" w:lineRule="auto"/>
        <w:ind w:hanging="361"/>
        <w:jc w:val="both"/>
        <w:rPr>
          <w:rFonts w:ascii="Times New Roman" w:hAnsi="Times New Roman" w:cs="Times New Roman"/>
        </w:rPr>
      </w:pPr>
      <w:r w:rsidRPr="00C45C7F">
        <w:rPr>
          <w:rFonts w:ascii="Times New Roman" w:hAnsi="Times New Roman" w:cs="Times New Roman"/>
        </w:rPr>
        <w:t xml:space="preserve">Anişoara Apetri, Mihalciuc Camelia, </w:t>
      </w:r>
      <w:r w:rsidR="00C45C7F">
        <w:rPr>
          <w:rFonts w:ascii="Times New Roman" w:hAnsi="Times New Roman" w:cs="Times New Roman"/>
        </w:rPr>
        <w:t xml:space="preserve"> 2008, </w:t>
      </w:r>
      <w:r w:rsidRPr="00C45C7F">
        <w:rPr>
          <w:rFonts w:ascii="Times New Roman" w:hAnsi="Times New Roman" w:cs="Times New Roman"/>
          <w:i/>
        </w:rPr>
        <w:t xml:space="preserve">Inflation Targeting-Fundamental Objective of the Monetary Policy of Romanian National Bank (BNR), ERSJ European Research Studies Journal, </w:t>
      </w:r>
      <w:r w:rsidRPr="00C45C7F">
        <w:rPr>
          <w:rFonts w:ascii="Times New Roman" w:hAnsi="Times New Roman" w:cs="Times New Roman"/>
        </w:rPr>
        <w:t>Volume XII, Issue (4) 2009, pages 79-86,</w:t>
      </w:r>
    </w:p>
    <w:p w:rsidR="00EA3315" w:rsidRPr="00C45C7F" w:rsidRDefault="00EA3315" w:rsidP="00417006">
      <w:pPr>
        <w:pStyle w:val="ListParagraph"/>
        <w:numPr>
          <w:ilvl w:val="0"/>
          <w:numId w:val="3"/>
        </w:numPr>
        <w:spacing w:line="240" w:lineRule="auto"/>
        <w:ind w:hanging="361"/>
        <w:jc w:val="both"/>
        <w:rPr>
          <w:rFonts w:ascii="Times New Roman" w:hAnsi="Times New Roman" w:cs="Times New Roman"/>
        </w:rPr>
      </w:pPr>
      <w:r w:rsidRPr="00C45C7F">
        <w:rPr>
          <w:rFonts w:ascii="Times New Roman" w:hAnsi="Times New Roman" w:cs="Times New Roman"/>
        </w:rPr>
        <w:t xml:space="preserve">Anisoara Apetri, Camelia Mihalciuc, Veronica Grosu, </w:t>
      </w:r>
      <w:r w:rsidR="00C45C7F">
        <w:rPr>
          <w:rFonts w:ascii="Times New Roman" w:hAnsi="Times New Roman" w:cs="Times New Roman"/>
        </w:rPr>
        <w:t xml:space="preserve"> 2015, </w:t>
      </w:r>
      <w:r w:rsidRPr="00C45C7F">
        <w:rPr>
          <w:rFonts w:ascii="Times New Roman" w:hAnsi="Times New Roman" w:cs="Times New Roman"/>
          <w:i/>
        </w:rPr>
        <w:t xml:space="preserve">The Analysis Of Financial And Prudential Banking Indicators In The Romanian Banking Sector During The Crisis And Postcrisis, </w:t>
      </w:r>
      <w:r w:rsidRPr="00C45C7F">
        <w:rPr>
          <w:rFonts w:ascii="Times New Roman" w:hAnsi="Times New Roman" w:cs="Times New Roman"/>
        </w:rPr>
        <w:t>Annals of the „Cons tantin Brâncuşi” Univers ity of Târgu Jiu, Economy Series , Issue 2/2015, „ACADEMICA BRÂNCUŞI” PUBLISHER, ISSN 2344 – 3685/ISSN-L 1844 - 7007, pp. 108 - 117</w:t>
      </w:r>
    </w:p>
    <w:p w:rsidR="00154B73" w:rsidRPr="00C45C7F" w:rsidRDefault="00154B73" w:rsidP="00417006">
      <w:pPr>
        <w:pStyle w:val="ListParagraph"/>
        <w:numPr>
          <w:ilvl w:val="0"/>
          <w:numId w:val="3"/>
        </w:numPr>
        <w:spacing w:line="240" w:lineRule="auto"/>
        <w:jc w:val="both"/>
        <w:rPr>
          <w:rFonts w:ascii="Times New Roman" w:hAnsi="Times New Roman" w:cs="Times New Roman"/>
        </w:rPr>
      </w:pPr>
      <w:r w:rsidRPr="00C45C7F">
        <w:rPr>
          <w:rFonts w:ascii="Times New Roman" w:hAnsi="Times New Roman" w:cs="Times New Roman"/>
        </w:rPr>
        <w:t xml:space="preserve">Dedu Vasile, 1996, </w:t>
      </w:r>
      <w:r w:rsidRPr="00C45C7F">
        <w:rPr>
          <w:rFonts w:ascii="Times New Roman" w:hAnsi="Times New Roman" w:cs="Times New Roman"/>
          <w:i/>
        </w:rPr>
        <w:t>Management bancar,</w:t>
      </w:r>
      <w:r w:rsidRPr="00C45C7F">
        <w:rPr>
          <w:rFonts w:ascii="Times New Roman" w:hAnsi="Times New Roman" w:cs="Times New Roman"/>
        </w:rPr>
        <w:t xml:space="preserve"> Editura Sildan, Bucureşti;</w:t>
      </w:r>
    </w:p>
    <w:p w:rsidR="00154B73" w:rsidRPr="00C45C7F" w:rsidRDefault="00154B73" w:rsidP="00417006">
      <w:pPr>
        <w:pStyle w:val="ListParagraph"/>
        <w:numPr>
          <w:ilvl w:val="0"/>
          <w:numId w:val="3"/>
        </w:numPr>
        <w:spacing w:line="240" w:lineRule="auto"/>
        <w:jc w:val="both"/>
        <w:rPr>
          <w:rFonts w:ascii="Times New Roman" w:hAnsi="Times New Roman" w:cs="Times New Roman"/>
        </w:rPr>
      </w:pPr>
      <w:r w:rsidRPr="00C45C7F">
        <w:rPr>
          <w:rFonts w:ascii="Times New Roman" w:hAnsi="Times New Roman" w:cs="Times New Roman"/>
        </w:rPr>
        <w:t xml:space="preserve">Iordachi Dimitriu, 1994, </w:t>
      </w:r>
      <w:r w:rsidRPr="00C45C7F">
        <w:rPr>
          <w:rFonts w:ascii="Times New Roman" w:hAnsi="Times New Roman" w:cs="Times New Roman"/>
          <w:i/>
        </w:rPr>
        <w:t>Monedă şi credit</w:t>
      </w:r>
      <w:r w:rsidRPr="00C45C7F">
        <w:rPr>
          <w:rFonts w:ascii="Times New Roman" w:hAnsi="Times New Roman" w:cs="Times New Roman"/>
        </w:rPr>
        <w:t>, Editura Graphix, Iaşi;</w:t>
      </w:r>
    </w:p>
    <w:p w:rsidR="00154B73" w:rsidRPr="00C45C7F" w:rsidRDefault="00154B73" w:rsidP="00417006">
      <w:pPr>
        <w:pStyle w:val="ListParagraph"/>
        <w:numPr>
          <w:ilvl w:val="0"/>
          <w:numId w:val="3"/>
        </w:numPr>
        <w:spacing w:line="240" w:lineRule="auto"/>
        <w:jc w:val="both"/>
        <w:rPr>
          <w:rFonts w:ascii="Times New Roman" w:hAnsi="Times New Roman" w:cs="Times New Roman"/>
        </w:rPr>
      </w:pPr>
      <w:r w:rsidRPr="00C45C7F">
        <w:rPr>
          <w:rFonts w:ascii="Times New Roman" w:hAnsi="Times New Roman" w:cs="Times New Roman"/>
        </w:rPr>
        <w:t xml:space="preserve">Mihai Ilie, Velicu Ileana-Cosînzeana, 2008, </w:t>
      </w:r>
      <w:r w:rsidRPr="00C45C7F">
        <w:rPr>
          <w:rFonts w:ascii="Times New Roman" w:hAnsi="Times New Roman" w:cs="Times New Roman"/>
          <w:i/>
        </w:rPr>
        <w:t xml:space="preserve">Managementul riscurilor în cadrul Instituţiilor Financiare Nebancare (IFN), </w:t>
      </w:r>
      <w:r w:rsidRPr="00C45C7F">
        <w:rPr>
          <w:rFonts w:ascii="Times New Roman" w:hAnsi="Times New Roman" w:cs="Times New Roman"/>
        </w:rPr>
        <w:t>Editura Economică, Bucureşti;</w:t>
      </w:r>
    </w:p>
    <w:p w:rsidR="00154B73" w:rsidRPr="00C45C7F" w:rsidRDefault="00154B73" w:rsidP="00417006">
      <w:pPr>
        <w:pStyle w:val="ListParagraph"/>
        <w:numPr>
          <w:ilvl w:val="0"/>
          <w:numId w:val="3"/>
        </w:numPr>
        <w:spacing w:line="240" w:lineRule="auto"/>
        <w:jc w:val="both"/>
        <w:rPr>
          <w:rFonts w:ascii="Times New Roman" w:hAnsi="Times New Roman" w:cs="Times New Roman"/>
        </w:rPr>
      </w:pPr>
      <w:r w:rsidRPr="00C45C7F">
        <w:rPr>
          <w:rFonts w:ascii="Times New Roman" w:hAnsi="Times New Roman" w:cs="Times New Roman"/>
        </w:rPr>
        <w:t xml:space="preserve">Sandu Gheorghe, 2001, </w:t>
      </w:r>
      <w:r w:rsidRPr="00C45C7F">
        <w:rPr>
          <w:rFonts w:ascii="Times New Roman" w:hAnsi="Times New Roman" w:cs="Times New Roman"/>
          <w:i/>
        </w:rPr>
        <w:t>Monedă – credit</w:t>
      </w:r>
      <w:r w:rsidRPr="00C45C7F">
        <w:rPr>
          <w:rFonts w:ascii="Times New Roman" w:hAnsi="Times New Roman" w:cs="Times New Roman"/>
        </w:rPr>
        <w:t>, Editura Universităţii din  Suceava, Suceava;</w:t>
      </w:r>
    </w:p>
    <w:p w:rsidR="00154B73" w:rsidRPr="00C45C7F" w:rsidRDefault="00154B73" w:rsidP="00417006">
      <w:pPr>
        <w:pStyle w:val="ListParagraph"/>
        <w:numPr>
          <w:ilvl w:val="0"/>
          <w:numId w:val="3"/>
        </w:numPr>
        <w:spacing w:line="240" w:lineRule="auto"/>
        <w:jc w:val="both"/>
        <w:rPr>
          <w:rFonts w:ascii="Times New Roman" w:hAnsi="Times New Roman" w:cs="Times New Roman"/>
        </w:rPr>
      </w:pPr>
      <w:r w:rsidRPr="00C45C7F">
        <w:rPr>
          <w:rFonts w:ascii="Times New Roman" w:hAnsi="Times New Roman" w:cs="Times New Roman"/>
        </w:rPr>
        <w:t xml:space="preserve">Trenca I. Ioan, Bolocan Mihail-Dragoş, 2011, </w:t>
      </w:r>
      <w:r w:rsidRPr="00C45C7F">
        <w:rPr>
          <w:rFonts w:ascii="Times New Roman" w:hAnsi="Times New Roman" w:cs="Times New Roman"/>
          <w:i/>
        </w:rPr>
        <w:t>Performanţă şi risc în bănci</w:t>
      </w:r>
      <w:r w:rsidRPr="00C45C7F">
        <w:rPr>
          <w:rFonts w:ascii="Times New Roman" w:hAnsi="Times New Roman" w:cs="Times New Roman"/>
        </w:rPr>
        <w:t>, Editura Casa Cărţii de Ştiinţă, Cluj-Napoca;</w:t>
      </w:r>
    </w:p>
    <w:p w:rsidR="00154B73" w:rsidRPr="00C45C7F" w:rsidRDefault="00154B73" w:rsidP="00417006">
      <w:pPr>
        <w:pStyle w:val="ListParagraph"/>
        <w:numPr>
          <w:ilvl w:val="0"/>
          <w:numId w:val="3"/>
        </w:numPr>
        <w:spacing w:line="240" w:lineRule="auto"/>
        <w:jc w:val="both"/>
        <w:rPr>
          <w:rStyle w:val="Hyperlink"/>
          <w:rFonts w:ascii="Times New Roman" w:hAnsi="Times New Roman" w:cs="Times New Roman"/>
          <w:color w:val="auto"/>
          <w:u w:val="none"/>
        </w:rPr>
      </w:pPr>
      <w:r w:rsidRPr="00C45C7F">
        <w:rPr>
          <w:rFonts w:ascii="Times New Roman" w:hAnsi="Times New Roman" w:cs="Times New Roman"/>
        </w:rPr>
        <w:t>Turli</w:t>
      </w:r>
      <w:r w:rsidR="00551831">
        <w:rPr>
          <w:rFonts w:ascii="Times New Roman" w:hAnsi="Times New Roman" w:cs="Times New Roman"/>
        </w:rPr>
        <w:t>u</w:t>
      </w:r>
      <w:r w:rsidRPr="00C45C7F">
        <w:rPr>
          <w:rFonts w:ascii="Times New Roman" w:hAnsi="Times New Roman" w:cs="Times New Roman"/>
        </w:rPr>
        <w:t xml:space="preserve">c Vasile et al., 2005, </w:t>
      </w:r>
      <w:r w:rsidRPr="00C45C7F">
        <w:rPr>
          <w:rFonts w:ascii="Times New Roman" w:hAnsi="Times New Roman" w:cs="Times New Roman"/>
          <w:i/>
        </w:rPr>
        <w:t>Monedă şi credit,</w:t>
      </w:r>
      <w:r w:rsidRPr="00C45C7F">
        <w:rPr>
          <w:rFonts w:ascii="Times New Roman" w:hAnsi="Times New Roman" w:cs="Times New Roman"/>
        </w:rPr>
        <w:t xml:space="preserve"> Editura Economică, Bucureşti;</w:t>
      </w:r>
    </w:p>
    <w:p w:rsidR="00154B73" w:rsidRPr="00C45C7F" w:rsidRDefault="008208DF" w:rsidP="00417006">
      <w:pPr>
        <w:spacing w:line="240" w:lineRule="auto"/>
        <w:ind w:firstLine="568"/>
        <w:rPr>
          <w:rStyle w:val="Hyperlink"/>
          <w:rFonts w:ascii="Times New Roman" w:hAnsi="Times New Roman" w:cs="Times New Roman"/>
          <w:bCs/>
          <w:i/>
          <w:bdr w:val="none" w:sz="0" w:space="0" w:color="auto" w:frame="1"/>
          <w:shd w:val="clear" w:color="auto" w:fill="FFFFFF"/>
        </w:rPr>
      </w:pPr>
      <w:r>
        <w:rPr>
          <w:rStyle w:val="Hyperlink"/>
          <w:rFonts w:ascii="Times New Roman" w:hAnsi="Times New Roman" w:cs="Times New Roman"/>
          <w:bCs/>
          <w:i/>
          <w:bdr w:val="none" w:sz="0" w:space="0" w:color="auto" w:frame="1"/>
          <w:shd w:val="clear" w:color="auto" w:fill="FFFFFF"/>
        </w:rPr>
        <w:t>W</w:t>
      </w:r>
      <w:r w:rsidR="00154B73" w:rsidRPr="00C45C7F">
        <w:rPr>
          <w:rStyle w:val="Hyperlink"/>
          <w:rFonts w:ascii="Times New Roman" w:hAnsi="Times New Roman" w:cs="Times New Roman"/>
          <w:bCs/>
          <w:i/>
          <w:bdr w:val="none" w:sz="0" w:space="0" w:color="auto" w:frame="1"/>
          <w:shd w:val="clear" w:color="auto" w:fill="FFFFFF"/>
        </w:rPr>
        <w:t>eb</w:t>
      </w:r>
      <w:r>
        <w:rPr>
          <w:rStyle w:val="Hyperlink"/>
          <w:rFonts w:ascii="Times New Roman" w:hAnsi="Times New Roman" w:cs="Times New Roman"/>
          <w:bCs/>
          <w:i/>
          <w:bdr w:val="none" w:sz="0" w:space="0" w:color="auto" w:frame="1"/>
          <w:shd w:val="clear" w:color="auto" w:fill="FFFFFF"/>
        </w:rPr>
        <w:t xml:space="preserve"> resources</w:t>
      </w:r>
      <w:r w:rsidR="00154B73" w:rsidRPr="00C45C7F">
        <w:rPr>
          <w:rStyle w:val="Hyperlink"/>
          <w:rFonts w:ascii="Times New Roman" w:hAnsi="Times New Roman" w:cs="Times New Roman"/>
          <w:bCs/>
          <w:i/>
          <w:bdr w:val="none" w:sz="0" w:space="0" w:color="auto" w:frame="1"/>
          <w:shd w:val="clear" w:color="auto" w:fill="FFFFFF"/>
        </w:rPr>
        <w:t>:</w:t>
      </w:r>
    </w:p>
    <w:p w:rsidR="00154B73" w:rsidRPr="00C45C7F" w:rsidRDefault="00154B73" w:rsidP="00417006">
      <w:pPr>
        <w:pStyle w:val="ListParagraph"/>
        <w:numPr>
          <w:ilvl w:val="0"/>
          <w:numId w:val="3"/>
        </w:numPr>
        <w:spacing w:after="0" w:line="240" w:lineRule="auto"/>
        <w:jc w:val="both"/>
        <w:rPr>
          <w:rFonts w:ascii="Times New Roman" w:hAnsi="Times New Roman" w:cs="Times New Roman"/>
        </w:rPr>
      </w:pPr>
      <w:r w:rsidRPr="00C45C7F">
        <w:rPr>
          <w:rFonts w:ascii="Times New Roman" w:hAnsi="Times New Roman" w:cs="Times New Roman"/>
        </w:rPr>
        <w:t xml:space="preserve">Hussein A. Abdou, John Pointon, 2011, </w:t>
      </w:r>
      <w:r w:rsidRPr="00C45C7F">
        <w:rPr>
          <w:rFonts w:ascii="Times New Roman" w:hAnsi="Times New Roman" w:cs="Times New Roman"/>
          <w:i/>
        </w:rPr>
        <w:t>Credit scoring, statistical techniques and evaluation criteria: a review of the literature</w:t>
      </w:r>
      <w:r w:rsidRPr="00C45C7F">
        <w:rPr>
          <w:rFonts w:ascii="Times New Roman" w:hAnsi="Times New Roman" w:cs="Times New Roman"/>
        </w:rPr>
        <w:t xml:space="preserve">, Intelligent Systems in Accounting, Finance &amp; Management, 18 (2-3), </w:t>
      </w:r>
      <w:hyperlink r:id="rId16" w:history="1">
        <w:r w:rsidRPr="00C45C7F">
          <w:rPr>
            <w:rStyle w:val="Hyperlink"/>
            <w:rFonts w:ascii="Times New Roman" w:hAnsi="Times New Roman" w:cs="Times New Roman"/>
          </w:rPr>
          <w:t>https://pdfs.semanticscholar.org/791c/f0b410e2dcd8d9be88452959c52b3b066580.pdf</w:t>
        </w:r>
      </w:hyperlink>
      <w:r w:rsidR="00337B7C" w:rsidRPr="00C45C7F">
        <w:rPr>
          <w:rFonts w:ascii="Times New Roman" w:hAnsi="Times New Roman" w:cs="Times New Roman"/>
        </w:rPr>
        <w:t>, [accesat la 12.03</w:t>
      </w:r>
      <w:r w:rsidRPr="00C45C7F">
        <w:rPr>
          <w:rFonts w:ascii="Times New Roman" w:hAnsi="Times New Roman" w:cs="Times New Roman"/>
        </w:rPr>
        <w:t>.2018];</w:t>
      </w:r>
    </w:p>
    <w:p w:rsidR="00154B73" w:rsidRPr="00C45C7F" w:rsidRDefault="00154B73" w:rsidP="00417006">
      <w:pPr>
        <w:pStyle w:val="ListParagraph"/>
        <w:numPr>
          <w:ilvl w:val="0"/>
          <w:numId w:val="3"/>
        </w:numPr>
        <w:spacing w:after="0" w:line="240" w:lineRule="auto"/>
        <w:jc w:val="both"/>
        <w:rPr>
          <w:rFonts w:ascii="Times New Roman" w:hAnsi="Times New Roman" w:cs="Times New Roman"/>
        </w:rPr>
      </w:pPr>
      <w:r w:rsidRPr="00C45C7F">
        <w:rPr>
          <w:rFonts w:ascii="Times New Roman" w:hAnsi="Times New Roman" w:cs="Times New Roman"/>
        </w:rPr>
        <w:lastRenderedPageBreak/>
        <w:t xml:space="preserve">Pichereau Laurence, 2016, </w:t>
      </w:r>
      <w:r w:rsidRPr="00C45C7F">
        <w:rPr>
          <w:rFonts w:ascii="Times New Roman" w:hAnsi="Times New Roman" w:cs="Times New Roman"/>
          <w:i/>
        </w:rPr>
        <w:t xml:space="preserve">Empirical study of credit rating agencies: do the financial characteristics of companies have an impact on the occurrence of split ratings? </w:t>
      </w:r>
      <w:hyperlink r:id="rId17" w:history="1">
        <w:r w:rsidRPr="00C45C7F">
          <w:rPr>
            <w:rStyle w:val="Hyperlink"/>
            <w:rFonts w:ascii="Times New Roman" w:hAnsi="Times New Roman" w:cs="Times New Roman"/>
          </w:rPr>
          <w:t>https://matheo.uliege.be/bitstream/2268.2/1897/1/Thesis_LaurencePichereau_s111186.pdf</w:t>
        </w:r>
      </w:hyperlink>
      <w:r w:rsidR="00337B7C" w:rsidRPr="00C45C7F">
        <w:rPr>
          <w:rFonts w:ascii="Times New Roman" w:hAnsi="Times New Roman" w:cs="Times New Roman"/>
        </w:rPr>
        <w:t>, [accesat la 21.03</w:t>
      </w:r>
      <w:r w:rsidRPr="00C45C7F">
        <w:rPr>
          <w:rFonts w:ascii="Times New Roman" w:hAnsi="Times New Roman" w:cs="Times New Roman"/>
        </w:rPr>
        <w:t>.2018];</w:t>
      </w:r>
    </w:p>
    <w:p w:rsidR="00154B73" w:rsidRPr="00C45C7F" w:rsidRDefault="00154B73" w:rsidP="00154B73">
      <w:pPr>
        <w:pStyle w:val="ListParagraph"/>
        <w:numPr>
          <w:ilvl w:val="0"/>
          <w:numId w:val="3"/>
        </w:numPr>
        <w:spacing w:after="0" w:line="240" w:lineRule="auto"/>
        <w:jc w:val="both"/>
        <w:rPr>
          <w:rFonts w:ascii="Times New Roman" w:hAnsi="Times New Roman" w:cs="Times New Roman"/>
        </w:rPr>
      </w:pPr>
      <w:r w:rsidRPr="00C45C7F">
        <w:rPr>
          <w:rFonts w:ascii="Times New Roman" w:hAnsi="Times New Roman" w:cs="Times New Roman"/>
        </w:rPr>
        <w:t xml:space="preserve">TengTeng Xu, 2012, </w:t>
      </w:r>
      <w:r w:rsidRPr="00C45C7F">
        <w:rPr>
          <w:rFonts w:ascii="Times New Roman" w:hAnsi="Times New Roman" w:cs="Times New Roman"/>
          <w:i/>
        </w:rPr>
        <w:t>The Role of Credit in International Business Cycles</w:t>
      </w:r>
      <w:r w:rsidRPr="00C45C7F">
        <w:rPr>
          <w:rFonts w:ascii="Times New Roman" w:hAnsi="Times New Roman" w:cs="Times New Roman"/>
        </w:rPr>
        <w:t xml:space="preserve">, Bank of Canada, </w:t>
      </w:r>
      <w:hyperlink r:id="rId18" w:history="1">
        <w:r w:rsidRPr="00C45C7F">
          <w:rPr>
            <w:rStyle w:val="Hyperlink"/>
            <w:rFonts w:ascii="Times New Roman" w:hAnsi="Times New Roman" w:cs="Times New Roman"/>
          </w:rPr>
          <w:t>https://www.bankofcanada.ca/wp-content/uploads/2012/11/wp2012-36.pdf</w:t>
        </w:r>
      </w:hyperlink>
      <w:r w:rsidR="00337B7C" w:rsidRPr="00C45C7F">
        <w:rPr>
          <w:rFonts w:ascii="Times New Roman" w:hAnsi="Times New Roman" w:cs="Times New Roman"/>
        </w:rPr>
        <w:t>, [accesat la 21.03</w:t>
      </w:r>
      <w:r w:rsidRPr="00C45C7F">
        <w:rPr>
          <w:rFonts w:ascii="Times New Roman" w:hAnsi="Times New Roman" w:cs="Times New Roman"/>
        </w:rPr>
        <w:t>.2018];</w:t>
      </w:r>
    </w:p>
    <w:p w:rsidR="00154B73" w:rsidRPr="00C45C7F" w:rsidRDefault="00154B73" w:rsidP="00DB585E">
      <w:pPr>
        <w:pStyle w:val="ListParagraph"/>
        <w:numPr>
          <w:ilvl w:val="0"/>
          <w:numId w:val="3"/>
        </w:numPr>
        <w:spacing w:after="0" w:line="240" w:lineRule="auto"/>
        <w:jc w:val="both"/>
        <w:rPr>
          <w:rFonts w:ascii="Times New Roman" w:hAnsi="Times New Roman" w:cs="Times New Roman"/>
        </w:rPr>
      </w:pPr>
      <w:r w:rsidRPr="00C45C7F">
        <w:rPr>
          <w:rFonts w:ascii="Times New Roman" w:hAnsi="Times New Roman" w:cs="Times New Roman"/>
        </w:rPr>
        <w:t xml:space="preserve">Deloitte, 2016, </w:t>
      </w:r>
      <w:r w:rsidRPr="00C45C7F">
        <w:rPr>
          <w:rFonts w:ascii="Times New Roman" w:hAnsi="Times New Roman" w:cs="Times New Roman"/>
          <w:i/>
        </w:rPr>
        <w:t>Credit scoring - Case study in data analytics</w:t>
      </w:r>
      <w:r w:rsidRPr="00C45C7F">
        <w:rPr>
          <w:rFonts w:ascii="Times New Roman" w:hAnsi="Times New Roman" w:cs="Times New Roman"/>
        </w:rPr>
        <w:t xml:space="preserve">, </w:t>
      </w:r>
      <w:hyperlink r:id="rId19" w:history="1">
        <w:r w:rsidRPr="00C45C7F">
          <w:rPr>
            <w:rStyle w:val="Hyperlink"/>
            <w:rFonts w:ascii="Times New Roman" w:hAnsi="Times New Roman" w:cs="Times New Roman"/>
          </w:rPr>
          <w:t>https://www2.deloitte.com/content/dam/Deloitte/global/Documents/Financial-Services/gx-be-aers-fsi-credit-scoring.pdf</w:t>
        </w:r>
      </w:hyperlink>
      <w:r w:rsidR="00337B7C" w:rsidRPr="00C45C7F">
        <w:rPr>
          <w:rFonts w:ascii="Times New Roman" w:hAnsi="Times New Roman" w:cs="Times New Roman"/>
        </w:rPr>
        <w:t>, [accesat la 23.03</w:t>
      </w:r>
      <w:r w:rsidRPr="00C45C7F">
        <w:rPr>
          <w:rFonts w:ascii="Times New Roman" w:hAnsi="Times New Roman" w:cs="Times New Roman"/>
        </w:rPr>
        <w:t>.2018];</w:t>
      </w:r>
    </w:p>
    <w:sectPr w:rsidR="00154B73" w:rsidRPr="00C45C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E23" w:rsidRDefault="00762E23" w:rsidP="00F94501">
      <w:pPr>
        <w:spacing w:after="0" w:line="240" w:lineRule="auto"/>
      </w:pPr>
      <w:r>
        <w:separator/>
      </w:r>
    </w:p>
  </w:endnote>
  <w:endnote w:type="continuationSeparator" w:id="0">
    <w:p w:rsidR="00762E23" w:rsidRDefault="00762E23" w:rsidP="00F94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E23" w:rsidRDefault="00762E23" w:rsidP="00F94501">
      <w:pPr>
        <w:spacing w:after="0" w:line="240" w:lineRule="auto"/>
      </w:pPr>
      <w:r>
        <w:separator/>
      </w:r>
    </w:p>
  </w:footnote>
  <w:footnote w:type="continuationSeparator" w:id="0">
    <w:p w:rsidR="00762E23" w:rsidRDefault="00762E23" w:rsidP="00F945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E7C2A"/>
    <w:multiLevelType w:val="hybridMultilevel"/>
    <w:tmpl w:val="3DA07EFA"/>
    <w:lvl w:ilvl="0" w:tplc="2DA4688C">
      <w:start w:val="1"/>
      <w:numFmt w:val="bullet"/>
      <w:lvlText w:val="-"/>
      <w:lvlJc w:val="left"/>
      <w:pPr>
        <w:ind w:left="501" w:hanging="360"/>
      </w:pPr>
      <w:rPr>
        <w:rFonts w:ascii="Calibri" w:eastAsiaTheme="minorHAnsi"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nsid w:val="1F013250"/>
    <w:multiLevelType w:val="hybridMultilevel"/>
    <w:tmpl w:val="4AD428C8"/>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872" w:hanging="360"/>
      </w:pPr>
    </w:lvl>
    <w:lvl w:ilvl="2" w:tplc="0418001B" w:tentative="1">
      <w:start w:val="1"/>
      <w:numFmt w:val="lowerRoman"/>
      <w:lvlText w:val="%3."/>
      <w:lvlJc w:val="right"/>
      <w:pPr>
        <w:ind w:left="1592" w:hanging="180"/>
      </w:pPr>
    </w:lvl>
    <w:lvl w:ilvl="3" w:tplc="0418000F" w:tentative="1">
      <w:start w:val="1"/>
      <w:numFmt w:val="decimal"/>
      <w:lvlText w:val="%4."/>
      <w:lvlJc w:val="left"/>
      <w:pPr>
        <w:ind w:left="2312" w:hanging="360"/>
      </w:pPr>
    </w:lvl>
    <w:lvl w:ilvl="4" w:tplc="04180019" w:tentative="1">
      <w:start w:val="1"/>
      <w:numFmt w:val="lowerLetter"/>
      <w:lvlText w:val="%5."/>
      <w:lvlJc w:val="left"/>
      <w:pPr>
        <w:ind w:left="3032" w:hanging="360"/>
      </w:pPr>
    </w:lvl>
    <w:lvl w:ilvl="5" w:tplc="0418001B" w:tentative="1">
      <w:start w:val="1"/>
      <w:numFmt w:val="lowerRoman"/>
      <w:lvlText w:val="%6."/>
      <w:lvlJc w:val="right"/>
      <w:pPr>
        <w:ind w:left="3752" w:hanging="180"/>
      </w:pPr>
    </w:lvl>
    <w:lvl w:ilvl="6" w:tplc="0418000F" w:tentative="1">
      <w:start w:val="1"/>
      <w:numFmt w:val="decimal"/>
      <w:lvlText w:val="%7."/>
      <w:lvlJc w:val="left"/>
      <w:pPr>
        <w:ind w:left="4472" w:hanging="360"/>
      </w:pPr>
    </w:lvl>
    <w:lvl w:ilvl="7" w:tplc="04180019" w:tentative="1">
      <w:start w:val="1"/>
      <w:numFmt w:val="lowerLetter"/>
      <w:lvlText w:val="%8."/>
      <w:lvlJc w:val="left"/>
      <w:pPr>
        <w:ind w:left="5192" w:hanging="360"/>
      </w:pPr>
    </w:lvl>
    <w:lvl w:ilvl="8" w:tplc="0418001B" w:tentative="1">
      <w:start w:val="1"/>
      <w:numFmt w:val="lowerRoman"/>
      <w:lvlText w:val="%9."/>
      <w:lvlJc w:val="right"/>
      <w:pPr>
        <w:ind w:left="5912" w:hanging="180"/>
      </w:pPr>
    </w:lvl>
  </w:abstractNum>
  <w:abstractNum w:abstractNumId="2">
    <w:nsid w:val="341132E3"/>
    <w:multiLevelType w:val="hybridMultilevel"/>
    <w:tmpl w:val="94B45232"/>
    <w:lvl w:ilvl="0" w:tplc="8A3A4A6C">
      <w:start w:val="1"/>
      <w:numFmt w:val="upperRoman"/>
      <w:lvlText w:val="%1."/>
      <w:lvlJc w:val="left"/>
      <w:pPr>
        <w:ind w:left="1288" w:hanging="72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3">
    <w:nsid w:val="55113621"/>
    <w:multiLevelType w:val="hybridMultilevel"/>
    <w:tmpl w:val="0F963F94"/>
    <w:lvl w:ilvl="0" w:tplc="15165974">
      <w:start w:val="4"/>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69F6C69"/>
    <w:multiLevelType w:val="hybridMultilevel"/>
    <w:tmpl w:val="6BE0E936"/>
    <w:lvl w:ilvl="0" w:tplc="0418000D">
      <w:start w:val="1"/>
      <w:numFmt w:val="bullet"/>
      <w:lvlText w:val=""/>
      <w:lvlJc w:val="left"/>
      <w:pPr>
        <w:ind w:left="928" w:hanging="360"/>
      </w:pPr>
      <w:rPr>
        <w:rFonts w:ascii="Wingdings" w:hAnsi="Wingdings" w:hint="default"/>
      </w:rPr>
    </w:lvl>
    <w:lvl w:ilvl="1" w:tplc="04180019">
      <w:start w:val="1"/>
      <w:numFmt w:val="lowerLetter"/>
      <w:lvlText w:val="%2."/>
      <w:lvlJc w:val="left"/>
      <w:pPr>
        <w:ind w:left="2148" w:hanging="360"/>
      </w:pPr>
    </w:lvl>
    <w:lvl w:ilvl="2" w:tplc="0418001B">
      <w:start w:val="1"/>
      <w:numFmt w:val="lowerRoman"/>
      <w:lvlText w:val="%3."/>
      <w:lvlJc w:val="right"/>
      <w:pPr>
        <w:ind w:left="2868" w:hanging="180"/>
      </w:pPr>
    </w:lvl>
    <w:lvl w:ilvl="3" w:tplc="0418000F">
      <w:start w:val="1"/>
      <w:numFmt w:val="decimal"/>
      <w:lvlText w:val="%4."/>
      <w:lvlJc w:val="left"/>
      <w:pPr>
        <w:ind w:left="3588" w:hanging="360"/>
      </w:pPr>
    </w:lvl>
    <w:lvl w:ilvl="4" w:tplc="04180019">
      <w:start w:val="1"/>
      <w:numFmt w:val="lowerLetter"/>
      <w:lvlText w:val="%5."/>
      <w:lvlJc w:val="left"/>
      <w:pPr>
        <w:ind w:left="4308" w:hanging="360"/>
      </w:pPr>
    </w:lvl>
    <w:lvl w:ilvl="5" w:tplc="0418001B">
      <w:start w:val="1"/>
      <w:numFmt w:val="lowerRoman"/>
      <w:lvlText w:val="%6."/>
      <w:lvlJc w:val="right"/>
      <w:pPr>
        <w:ind w:left="5028" w:hanging="180"/>
      </w:pPr>
    </w:lvl>
    <w:lvl w:ilvl="6" w:tplc="0418000F">
      <w:start w:val="1"/>
      <w:numFmt w:val="decimal"/>
      <w:lvlText w:val="%7."/>
      <w:lvlJc w:val="left"/>
      <w:pPr>
        <w:ind w:left="5748" w:hanging="360"/>
      </w:pPr>
    </w:lvl>
    <w:lvl w:ilvl="7" w:tplc="04180019">
      <w:start w:val="1"/>
      <w:numFmt w:val="lowerLetter"/>
      <w:lvlText w:val="%8."/>
      <w:lvlJc w:val="left"/>
      <w:pPr>
        <w:ind w:left="6468" w:hanging="360"/>
      </w:pPr>
    </w:lvl>
    <w:lvl w:ilvl="8" w:tplc="0418001B">
      <w:start w:val="1"/>
      <w:numFmt w:val="lowerRoman"/>
      <w:lvlText w:val="%9."/>
      <w:lvlJc w:val="right"/>
      <w:pPr>
        <w:ind w:left="7188" w:hanging="180"/>
      </w:p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501"/>
    <w:rsid w:val="00003792"/>
    <w:rsid w:val="00003A49"/>
    <w:rsid w:val="0002766F"/>
    <w:rsid w:val="00050A51"/>
    <w:rsid w:val="000767AF"/>
    <w:rsid w:val="000A1B1B"/>
    <w:rsid w:val="000D7C48"/>
    <w:rsid w:val="001167B0"/>
    <w:rsid w:val="00125B2B"/>
    <w:rsid w:val="00154B73"/>
    <w:rsid w:val="0018749E"/>
    <w:rsid w:val="001E41C1"/>
    <w:rsid w:val="002258A4"/>
    <w:rsid w:val="002323AF"/>
    <w:rsid w:val="00233332"/>
    <w:rsid w:val="002478BF"/>
    <w:rsid w:val="00270655"/>
    <w:rsid w:val="00274648"/>
    <w:rsid w:val="00294DE2"/>
    <w:rsid w:val="002C740F"/>
    <w:rsid w:val="002D184F"/>
    <w:rsid w:val="00337B7C"/>
    <w:rsid w:val="003403DD"/>
    <w:rsid w:val="0036552A"/>
    <w:rsid w:val="003664B0"/>
    <w:rsid w:val="00391491"/>
    <w:rsid w:val="003D0466"/>
    <w:rsid w:val="003D546A"/>
    <w:rsid w:val="003E3992"/>
    <w:rsid w:val="003F2F67"/>
    <w:rsid w:val="003F7C66"/>
    <w:rsid w:val="00405E50"/>
    <w:rsid w:val="00417006"/>
    <w:rsid w:val="00445CD8"/>
    <w:rsid w:val="00447455"/>
    <w:rsid w:val="004961D5"/>
    <w:rsid w:val="00547E92"/>
    <w:rsid w:val="00551831"/>
    <w:rsid w:val="00591E18"/>
    <w:rsid w:val="005A5088"/>
    <w:rsid w:val="005D6D21"/>
    <w:rsid w:val="0060240C"/>
    <w:rsid w:val="00607146"/>
    <w:rsid w:val="00617D69"/>
    <w:rsid w:val="00641625"/>
    <w:rsid w:val="00656D63"/>
    <w:rsid w:val="006D04A3"/>
    <w:rsid w:val="006F0B6F"/>
    <w:rsid w:val="00704867"/>
    <w:rsid w:val="00727D7D"/>
    <w:rsid w:val="00762E23"/>
    <w:rsid w:val="00767AA5"/>
    <w:rsid w:val="00774CB3"/>
    <w:rsid w:val="007A4231"/>
    <w:rsid w:val="007B528D"/>
    <w:rsid w:val="007C64EF"/>
    <w:rsid w:val="007D2992"/>
    <w:rsid w:val="007D3CF0"/>
    <w:rsid w:val="007D43F6"/>
    <w:rsid w:val="007D533D"/>
    <w:rsid w:val="007E51E6"/>
    <w:rsid w:val="007F780D"/>
    <w:rsid w:val="008137A7"/>
    <w:rsid w:val="008208DF"/>
    <w:rsid w:val="00821BB6"/>
    <w:rsid w:val="00833993"/>
    <w:rsid w:val="00856E3A"/>
    <w:rsid w:val="00880824"/>
    <w:rsid w:val="008A785D"/>
    <w:rsid w:val="008D32E0"/>
    <w:rsid w:val="0090375B"/>
    <w:rsid w:val="00935911"/>
    <w:rsid w:val="00944804"/>
    <w:rsid w:val="00972241"/>
    <w:rsid w:val="009A6AB0"/>
    <w:rsid w:val="009B681B"/>
    <w:rsid w:val="009E3A89"/>
    <w:rsid w:val="00A100E4"/>
    <w:rsid w:val="00A61C8C"/>
    <w:rsid w:val="00A672DF"/>
    <w:rsid w:val="00A72CB6"/>
    <w:rsid w:val="00A7728F"/>
    <w:rsid w:val="00AA7FB4"/>
    <w:rsid w:val="00AB4CFC"/>
    <w:rsid w:val="00AC4C48"/>
    <w:rsid w:val="00AF50D3"/>
    <w:rsid w:val="00B03764"/>
    <w:rsid w:val="00B46513"/>
    <w:rsid w:val="00B51703"/>
    <w:rsid w:val="00BB4AF2"/>
    <w:rsid w:val="00BD073F"/>
    <w:rsid w:val="00C0442C"/>
    <w:rsid w:val="00C13ACC"/>
    <w:rsid w:val="00C43421"/>
    <w:rsid w:val="00C45C7F"/>
    <w:rsid w:val="00C50094"/>
    <w:rsid w:val="00C61A13"/>
    <w:rsid w:val="00C866B3"/>
    <w:rsid w:val="00C94D5F"/>
    <w:rsid w:val="00CA7146"/>
    <w:rsid w:val="00CB3BD6"/>
    <w:rsid w:val="00CC6915"/>
    <w:rsid w:val="00CE076B"/>
    <w:rsid w:val="00D04FEC"/>
    <w:rsid w:val="00D1671F"/>
    <w:rsid w:val="00D25887"/>
    <w:rsid w:val="00D278EB"/>
    <w:rsid w:val="00D92E72"/>
    <w:rsid w:val="00D9425A"/>
    <w:rsid w:val="00DB585E"/>
    <w:rsid w:val="00DC1DCF"/>
    <w:rsid w:val="00DD50F1"/>
    <w:rsid w:val="00DE0E54"/>
    <w:rsid w:val="00DE6EC4"/>
    <w:rsid w:val="00E6593F"/>
    <w:rsid w:val="00E75577"/>
    <w:rsid w:val="00E817A0"/>
    <w:rsid w:val="00E911FB"/>
    <w:rsid w:val="00E92AFE"/>
    <w:rsid w:val="00EA3315"/>
    <w:rsid w:val="00EC48B7"/>
    <w:rsid w:val="00F02783"/>
    <w:rsid w:val="00F02F49"/>
    <w:rsid w:val="00F218CF"/>
    <w:rsid w:val="00F31E10"/>
    <w:rsid w:val="00F52C73"/>
    <w:rsid w:val="00F62EEF"/>
    <w:rsid w:val="00F70644"/>
    <w:rsid w:val="00F94501"/>
    <w:rsid w:val="00F95BE5"/>
    <w:rsid w:val="00FB2DBF"/>
    <w:rsid w:val="00FC5989"/>
    <w:rsid w:val="00FD1EF0"/>
    <w:rsid w:val="00FF42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01"/>
    <w:pPr>
      <w:spacing w:after="160" w:line="259" w:lineRule="auto"/>
    </w:pPr>
  </w:style>
  <w:style w:type="paragraph" w:styleId="Heading1">
    <w:name w:val="heading 1"/>
    <w:basedOn w:val="Normal"/>
    <w:next w:val="Normal"/>
    <w:link w:val="Heading1Char"/>
    <w:uiPriority w:val="9"/>
    <w:qFormat/>
    <w:rsid w:val="00F94501"/>
    <w:pPr>
      <w:keepNext/>
      <w:keepLines/>
      <w:spacing w:before="240" w:after="0" w:line="256" w:lineRule="auto"/>
      <w:jc w:val="center"/>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94501"/>
    <w:pPr>
      <w:spacing w:after="0" w:line="240" w:lineRule="auto"/>
    </w:pPr>
    <w:rPr>
      <w:sz w:val="20"/>
      <w:szCs w:val="20"/>
    </w:rPr>
  </w:style>
  <w:style w:type="character" w:customStyle="1" w:styleId="FootnoteTextChar">
    <w:name w:val="Footnote Text Char"/>
    <w:basedOn w:val="DefaultParagraphFont"/>
    <w:link w:val="FootnoteText"/>
    <w:uiPriority w:val="99"/>
    <w:rsid w:val="00F94501"/>
    <w:rPr>
      <w:sz w:val="20"/>
      <w:szCs w:val="20"/>
    </w:rPr>
  </w:style>
  <w:style w:type="character" w:styleId="FootnoteReference">
    <w:name w:val="footnote reference"/>
    <w:basedOn w:val="DefaultParagraphFont"/>
    <w:uiPriority w:val="99"/>
    <w:semiHidden/>
    <w:unhideWhenUsed/>
    <w:rsid w:val="00F94501"/>
    <w:rPr>
      <w:vertAlign w:val="superscript"/>
    </w:rPr>
  </w:style>
  <w:style w:type="character" w:styleId="Hyperlink">
    <w:name w:val="Hyperlink"/>
    <w:basedOn w:val="DefaultParagraphFont"/>
    <w:uiPriority w:val="99"/>
    <w:unhideWhenUsed/>
    <w:rsid w:val="00F94501"/>
    <w:rPr>
      <w:color w:val="6B9F25" w:themeColor="hyperlink"/>
      <w:u w:val="single"/>
    </w:rPr>
  </w:style>
  <w:style w:type="paragraph" w:styleId="ListParagraph">
    <w:name w:val="List Paragraph"/>
    <w:basedOn w:val="Normal"/>
    <w:uiPriority w:val="34"/>
    <w:qFormat/>
    <w:rsid w:val="00F94501"/>
    <w:pPr>
      <w:ind w:left="720"/>
      <w:contextualSpacing/>
    </w:pPr>
  </w:style>
  <w:style w:type="character" w:customStyle="1" w:styleId="Heading1Char">
    <w:name w:val="Heading 1 Char"/>
    <w:basedOn w:val="DefaultParagraphFont"/>
    <w:link w:val="Heading1"/>
    <w:uiPriority w:val="9"/>
    <w:rsid w:val="00F94501"/>
    <w:rPr>
      <w:rFonts w:ascii="Times New Roman" w:eastAsiaTheme="majorEastAsia" w:hAnsi="Times New Roman" w:cstheme="majorBidi"/>
      <w:b/>
      <w:sz w:val="28"/>
      <w:szCs w:val="32"/>
    </w:rPr>
  </w:style>
  <w:style w:type="paragraph" w:styleId="Caption">
    <w:name w:val="caption"/>
    <w:basedOn w:val="Normal"/>
    <w:next w:val="Normal"/>
    <w:uiPriority w:val="35"/>
    <w:unhideWhenUsed/>
    <w:qFormat/>
    <w:rsid w:val="00154B73"/>
    <w:pPr>
      <w:spacing w:after="200" w:line="240" w:lineRule="auto"/>
    </w:pPr>
    <w:rPr>
      <w:i/>
      <w:iCs/>
      <w:color w:val="373545" w:themeColor="text2"/>
      <w:sz w:val="18"/>
      <w:szCs w:val="18"/>
    </w:rPr>
  </w:style>
  <w:style w:type="paragraph" w:styleId="BalloonText">
    <w:name w:val="Balloon Text"/>
    <w:basedOn w:val="Normal"/>
    <w:link w:val="BalloonTextChar"/>
    <w:uiPriority w:val="99"/>
    <w:semiHidden/>
    <w:unhideWhenUsed/>
    <w:rsid w:val="00154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B73"/>
    <w:rPr>
      <w:rFonts w:ascii="Tahoma" w:hAnsi="Tahoma" w:cs="Tahoma"/>
      <w:sz w:val="16"/>
      <w:szCs w:val="16"/>
    </w:rPr>
  </w:style>
  <w:style w:type="table" w:styleId="TableGrid">
    <w:name w:val="Table Grid"/>
    <w:basedOn w:val="TableNormal"/>
    <w:uiPriority w:val="59"/>
    <w:rsid w:val="008137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8137A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01"/>
    <w:pPr>
      <w:spacing w:after="160" w:line="259" w:lineRule="auto"/>
    </w:pPr>
  </w:style>
  <w:style w:type="paragraph" w:styleId="Heading1">
    <w:name w:val="heading 1"/>
    <w:basedOn w:val="Normal"/>
    <w:next w:val="Normal"/>
    <w:link w:val="Heading1Char"/>
    <w:uiPriority w:val="9"/>
    <w:qFormat/>
    <w:rsid w:val="00F94501"/>
    <w:pPr>
      <w:keepNext/>
      <w:keepLines/>
      <w:spacing w:before="240" w:after="0" w:line="256" w:lineRule="auto"/>
      <w:jc w:val="center"/>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94501"/>
    <w:pPr>
      <w:spacing w:after="0" w:line="240" w:lineRule="auto"/>
    </w:pPr>
    <w:rPr>
      <w:sz w:val="20"/>
      <w:szCs w:val="20"/>
    </w:rPr>
  </w:style>
  <w:style w:type="character" w:customStyle="1" w:styleId="FootnoteTextChar">
    <w:name w:val="Footnote Text Char"/>
    <w:basedOn w:val="DefaultParagraphFont"/>
    <w:link w:val="FootnoteText"/>
    <w:uiPriority w:val="99"/>
    <w:rsid w:val="00F94501"/>
    <w:rPr>
      <w:sz w:val="20"/>
      <w:szCs w:val="20"/>
    </w:rPr>
  </w:style>
  <w:style w:type="character" w:styleId="FootnoteReference">
    <w:name w:val="footnote reference"/>
    <w:basedOn w:val="DefaultParagraphFont"/>
    <w:uiPriority w:val="99"/>
    <w:semiHidden/>
    <w:unhideWhenUsed/>
    <w:rsid w:val="00F94501"/>
    <w:rPr>
      <w:vertAlign w:val="superscript"/>
    </w:rPr>
  </w:style>
  <w:style w:type="character" w:styleId="Hyperlink">
    <w:name w:val="Hyperlink"/>
    <w:basedOn w:val="DefaultParagraphFont"/>
    <w:uiPriority w:val="99"/>
    <w:unhideWhenUsed/>
    <w:rsid w:val="00F94501"/>
    <w:rPr>
      <w:color w:val="6B9F25" w:themeColor="hyperlink"/>
      <w:u w:val="single"/>
    </w:rPr>
  </w:style>
  <w:style w:type="paragraph" w:styleId="ListParagraph">
    <w:name w:val="List Paragraph"/>
    <w:basedOn w:val="Normal"/>
    <w:uiPriority w:val="34"/>
    <w:qFormat/>
    <w:rsid w:val="00F94501"/>
    <w:pPr>
      <w:ind w:left="720"/>
      <w:contextualSpacing/>
    </w:pPr>
  </w:style>
  <w:style w:type="character" w:customStyle="1" w:styleId="Heading1Char">
    <w:name w:val="Heading 1 Char"/>
    <w:basedOn w:val="DefaultParagraphFont"/>
    <w:link w:val="Heading1"/>
    <w:uiPriority w:val="9"/>
    <w:rsid w:val="00F94501"/>
    <w:rPr>
      <w:rFonts w:ascii="Times New Roman" w:eastAsiaTheme="majorEastAsia" w:hAnsi="Times New Roman" w:cstheme="majorBidi"/>
      <w:b/>
      <w:sz w:val="28"/>
      <w:szCs w:val="32"/>
    </w:rPr>
  </w:style>
  <w:style w:type="paragraph" w:styleId="Caption">
    <w:name w:val="caption"/>
    <w:basedOn w:val="Normal"/>
    <w:next w:val="Normal"/>
    <w:uiPriority w:val="35"/>
    <w:unhideWhenUsed/>
    <w:qFormat/>
    <w:rsid w:val="00154B73"/>
    <w:pPr>
      <w:spacing w:after="200" w:line="240" w:lineRule="auto"/>
    </w:pPr>
    <w:rPr>
      <w:i/>
      <w:iCs/>
      <w:color w:val="373545" w:themeColor="text2"/>
      <w:sz w:val="18"/>
      <w:szCs w:val="18"/>
    </w:rPr>
  </w:style>
  <w:style w:type="paragraph" w:styleId="BalloonText">
    <w:name w:val="Balloon Text"/>
    <w:basedOn w:val="Normal"/>
    <w:link w:val="BalloonTextChar"/>
    <w:uiPriority w:val="99"/>
    <w:semiHidden/>
    <w:unhideWhenUsed/>
    <w:rsid w:val="00154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B73"/>
    <w:rPr>
      <w:rFonts w:ascii="Tahoma" w:hAnsi="Tahoma" w:cs="Tahoma"/>
      <w:sz w:val="16"/>
      <w:szCs w:val="16"/>
    </w:rPr>
  </w:style>
  <w:style w:type="table" w:styleId="TableGrid">
    <w:name w:val="Table Grid"/>
    <w:basedOn w:val="TableNormal"/>
    <w:uiPriority w:val="59"/>
    <w:rsid w:val="008137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8137A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bnro.ro" TargetMode="External"/><Relationship Id="rId18" Type="http://schemas.openxmlformats.org/officeDocument/2006/relationships/hyperlink" Target="https://www.bankofcanada.ca/wp-content/uploads/2012/11/wp2012-36.pdf"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matheo.uliege.be/bitstream/2268.2/1897/1/Thesis_LaurencePichereau_s111186.pdf" TargetMode="External"/><Relationship Id="rId2" Type="http://schemas.openxmlformats.org/officeDocument/2006/relationships/styles" Target="styles.xml"/><Relationship Id="rId16" Type="http://schemas.openxmlformats.org/officeDocument/2006/relationships/hyperlink" Target="https://pdfs.semanticscholar.org/791c/f0b410e2dcd8d9be88452959c52b3b066580.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nro.ro" TargetMode="External"/><Relationship Id="rId5" Type="http://schemas.openxmlformats.org/officeDocument/2006/relationships/webSettings" Target="webSettings.xml"/><Relationship Id="rId15" Type="http://schemas.openxmlformats.org/officeDocument/2006/relationships/hyperlink" Target="http://www.bnro.ro" TargetMode="External"/><Relationship Id="rId10" Type="http://schemas.openxmlformats.org/officeDocument/2006/relationships/chart" Target="charts/chart2.xml"/><Relationship Id="rId19" Type="http://schemas.openxmlformats.org/officeDocument/2006/relationships/hyperlink" Target="https://www2.deloitte.com/content/dam/Deloitte/global/Documents/Financial-Services/gx-be-aers-fsi-credit-scoring.pdf" TargetMode="External"/><Relationship Id="rId4" Type="http://schemas.openxmlformats.org/officeDocument/2006/relationships/settings" Target="settings.xml"/><Relationship Id="rId9" Type="http://schemas.openxmlformats.org/officeDocument/2006/relationships/hyperlink" Target="http://www.bnro.ro"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Lbls>
            <c:dLbl>
              <c:idx val="0"/>
              <c:layout>
                <c:manualLayout>
                  <c:x val="-3.2362451558758915E-2"/>
                  <c:y val="4.3912948381452321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3.8785801265437431E-2"/>
                  <c:y val="-9.4858923884514432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3"/>
              <c:layout>
                <c:manualLayout>
                  <c:x val="2.1304992636108574E-2"/>
                  <c:y val="-8.7939632545931762E-2"/>
                </c:manualLayout>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o-R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Sheet1!$A$3:$A$7</c:f>
              <c:strCache>
                <c:ptCount val="5"/>
                <c:pt idx="0">
                  <c:v>Agriculture, Forestry, Fishery</c:v>
                </c:pt>
                <c:pt idx="1">
                  <c:v>Industry </c:v>
                </c:pt>
                <c:pt idx="2">
                  <c:v>Constructions</c:v>
                </c:pt>
                <c:pt idx="3">
                  <c:v>The activities of financial intermediation and insurance </c:v>
                </c:pt>
                <c:pt idx="4">
                  <c:v>Services</c:v>
                </c:pt>
              </c:strCache>
            </c:strRef>
          </c:cat>
          <c:val>
            <c:numRef>
              <c:f>Sheet1!$B$3:$B$7</c:f>
              <c:numCache>
                <c:formatCode>0%</c:formatCode>
                <c:ptCount val="5"/>
                <c:pt idx="0">
                  <c:v>0.08</c:v>
                </c:pt>
                <c:pt idx="1">
                  <c:v>0.31</c:v>
                </c:pt>
                <c:pt idx="2">
                  <c:v>0.11</c:v>
                </c:pt>
                <c:pt idx="3">
                  <c:v>0.05</c:v>
                </c:pt>
                <c:pt idx="4">
                  <c:v>0.45</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v>Agriculture, Forestry, Fishery </c:v>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Sheet1!$B$2:$B$9</c:f>
              <c:numCache>
                <c:formatCode>General</c:formatCode>
                <c:ptCount val="8"/>
                <c:pt idx="0">
                  <c:v>78045</c:v>
                </c:pt>
                <c:pt idx="1">
                  <c:v>98715</c:v>
                </c:pt>
                <c:pt idx="2">
                  <c:v>119129</c:v>
                </c:pt>
                <c:pt idx="3">
                  <c:v>125590</c:v>
                </c:pt>
                <c:pt idx="4">
                  <c:v>133807</c:v>
                </c:pt>
                <c:pt idx="5">
                  <c:v>141987</c:v>
                </c:pt>
                <c:pt idx="6">
                  <c:v>152742</c:v>
                </c:pt>
                <c:pt idx="7">
                  <c:v>165392</c:v>
                </c:pt>
              </c:numCache>
            </c:numRef>
          </c:val>
          <c:smooth val="0"/>
          <c:extLst xmlns:c16r2="http://schemas.microsoft.com/office/drawing/2015/06/chart">
            <c:ext xmlns:c16="http://schemas.microsoft.com/office/drawing/2014/chart" uri="{C3380CC4-5D6E-409C-BE32-E72D297353CC}">
              <c16:uniqueId val="{00000000-9EAC-4D6A-BFCB-8EC62613E1A5}"/>
            </c:ext>
          </c:extLst>
        </c:ser>
        <c:ser>
          <c:idx val="1"/>
          <c:order val="1"/>
          <c:tx>
            <c:v>Industry</c:v>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Sheet1!$C$2:$C$9</c:f>
              <c:numCache>
                <c:formatCode>General</c:formatCode>
                <c:ptCount val="8"/>
                <c:pt idx="0">
                  <c:v>502569</c:v>
                </c:pt>
                <c:pt idx="1">
                  <c:v>567140</c:v>
                </c:pt>
                <c:pt idx="2">
                  <c:v>617519</c:v>
                </c:pt>
                <c:pt idx="3">
                  <c:v>605016</c:v>
                </c:pt>
                <c:pt idx="4">
                  <c:v>635426</c:v>
                </c:pt>
                <c:pt idx="5">
                  <c:v>644773</c:v>
                </c:pt>
                <c:pt idx="6">
                  <c:v>658111</c:v>
                </c:pt>
                <c:pt idx="7">
                  <c:v>673904</c:v>
                </c:pt>
              </c:numCache>
            </c:numRef>
          </c:val>
          <c:smooth val="0"/>
          <c:extLst xmlns:c16r2="http://schemas.microsoft.com/office/drawing/2015/06/chart">
            <c:ext xmlns:c16="http://schemas.microsoft.com/office/drawing/2014/chart" uri="{C3380CC4-5D6E-409C-BE32-E72D297353CC}">
              <c16:uniqueId val="{00000001-9EAC-4D6A-BFCB-8EC62613E1A5}"/>
            </c:ext>
          </c:extLst>
        </c:ser>
        <c:ser>
          <c:idx val="2"/>
          <c:order val="2"/>
          <c:tx>
            <c:v>Constructions</c:v>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Sheet1!$D$2:$D$9</c:f>
              <c:numCache>
                <c:formatCode>General</c:formatCode>
                <c:ptCount val="8"/>
                <c:pt idx="0">
                  <c:v>304513</c:v>
                </c:pt>
                <c:pt idx="1">
                  <c:v>315295</c:v>
                </c:pt>
                <c:pt idx="2">
                  <c:v>318363</c:v>
                </c:pt>
                <c:pt idx="3">
                  <c:v>319665</c:v>
                </c:pt>
                <c:pt idx="4">
                  <c:v>299530</c:v>
                </c:pt>
                <c:pt idx="5">
                  <c:v>278452</c:v>
                </c:pt>
                <c:pt idx="6">
                  <c:v>258564</c:v>
                </c:pt>
                <c:pt idx="7">
                  <c:v>250976</c:v>
                </c:pt>
              </c:numCache>
            </c:numRef>
          </c:val>
          <c:smooth val="0"/>
          <c:extLst xmlns:c16r2="http://schemas.microsoft.com/office/drawing/2015/06/chart">
            <c:ext xmlns:c16="http://schemas.microsoft.com/office/drawing/2014/chart" uri="{C3380CC4-5D6E-409C-BE32-E72D297353CC}">
              <c16:uniqueId val="{00000002-9EAC-4D6A-BFCB-8EC62613E1A5}"/>
            </c:ext>
          </c:extLst>
        </c:ser>
        <c:ser>
          <c:idx val="3"/>
          <c:order val="3"/>
          <c:tx>
            <c:v>The activities of financial intermediation and insurance </c:v>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Sheet1!$E$2:$E$9</c:f>
              <c:numCache>
                <c:formatCode>General</c:formatCode>
                <c:ptCount val="8"/>
                <c:pt idx="0">
                  <c:v>90474</c:v>
                </c:pt>
                <c:pt idx="1">
                  <c:v>82213</c:v>
                </c:pt>
                <c:pt idx="2">
                  <c:v>73178</c:v>
                </c:pt>
                <c:pt idx="3">
                  <c:v>70533</c:v>
                </c:pt>
                <c:pt idx="4">
                  <c:v>70233</c:v>
                </c:pt>
                <c:pt idx="5">
                  <c:v>87631</c:v>
                </c:pt>
                <c:pt idx="6">
                  <c:v>93164</c:v>
                </c:pt>
                <c:pt idx="7">
                  <c:v>112891</c:v>
                </c:pt>
              </c:numCache>
            </c:numRef>
          </c:val>
          <c:smooth val="0"/>
          <c:extLst xmlns:c16r2="http://schemas.microsoft.com/office/drawing/2015/06/chart">
            <c:ext xmlns:c16="http://schemas.microsoft.com/office/drawing/2014/chart" uri="{C3380CC4-5D6E-409C-BE32-E72D297353CC}">
              <c16:uniqueId val="{00000003-9EAC-4D6A-BFCB-8EC62613E1A5}"/>
            </c:ext>
          </c:extLst>
        </c:ser>
        <c:ser>
          <c:idx val="4"/>
          <c:order val="4"/>
          <c:tx>
            <c:v>Services </c:v>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Sheet1!$F$2:$F$9</c:f>
              <c:numCache>
                <c:formatCode>General</c:formatCode>
                <c:ptCount val="8"/>
                <c:pt idx="0">
                  <c:v>769866</c:v>
                </c:pt>
                <c:pt idx="1">
                  <c:v>852385</c:v>
                </c:pt>
                <c:pt idx="2">
                  <c:v>910423</c:v>
                </c:pt>
                <c:pt idx="3">
                  <c:v>913209</c:v>
                </c:pt>
                <c:pt idx="4">
                  <c:v>909440</c:v>
                </c:pt>
                <c:pt idx="5">
                  <c:v>923755</c:v>
                </c:pt>
                <c:pt idx="6">
                  <c:v>945330</c:v>
                </c:pt>
                <c:pt idx="7">
                  <c:v>990848</c:v>
                </c:pt>
              </c:numCache>
            </c:numRef>
          </c:val>
          <c:smooth val="0"/>
          <c:extLst xmlns:c16r2="http://schemas.microsoft.com/office/drawing/2015/06/chart">
            <c:ext xmlns:c16="http://schemas.microsoft.com/office/drawing/2014/chart" uri="{C3380CC4-5D6E-409C-BE32-E72D297353CC}">
              <c16:uniqueId val="{00000004-9EAC-4D6A-BFCB-8EC62613E1A5}"/>
            </c:ext>
          </c:extLst>
        </c:ser>
        <c:dLbls>
          <c:showLegendKey val="0"/>
          <c:showVal val="0"/>
          <c:showCatName val="0"/>
          <c:showSerName val="0"/>
          <c:showPercent val="0"/>
          <c:showBubbleSize val="0"/>
        </c:dLbls>
        <c:marker val="1"/>
        <c:smooth val="0"/>
        <c:axId val="79891072"/>
        <c:axId val="79897344"/>
      </c:lineChart>
      <c:catAx>
        <c:axId val="79891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crossAx val="79897344"/>
        <c:crosses val="autoZero"/>
        <c:auto val="1"/>
        <c:lblAlgn val="ctr"/>
        <c:lblOffset val="100"/>
        <c:noMultiLvlLbl val="0"/>
      </c:catAx>
      <c:valAx>
        <c:axId val="79897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crossAx val="79891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68478419364247"/>
          <c:y val="2.4043715846994537E-2"/>
          <c:w val="0.86885225284339462"/>
          <c:h val="0.54324547136525969"/>
        </c:manualLayout>
      </c:layout>
      <c:lineChart>
        <c:grouping val="standard"/>
        <c:varyColors val="0"/>
        <c:ser>
          <c:idx val="0"/>
          <c:order val="0"/>
          <c:tx>
            <c:v>Commercial receivables</c:v>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Sheet1!$A$2:$A$7</c:f>
              <c:numCache>
                <c:formatCode>General</c:formatCode>
                <c:ptCount val="6"/>
                <c:pt idx="0">
                  <c:v>2012</c:v>
                </c:pt>
                <c:pt idx="1">
                  <c:v>2013</c:v>
                </c:pt>
                <c:pt idx="2">
                  <c:v>2014</c:v>
                </c:pt>
                <c:pt idx="3">
                  <c:v>2015</c:v>
                </c:pt>
                <c:pt idx="4">
                  <c:v>2016</c:v>
                </c:pt>
                <c:pt idx="5">
                  <c:v>2017</c:v>
                </c:pt>
              </c:numCache>
            </c:numRef>
          </c:cat>
          <c:val>
            <c:numRef>
              <c:f>Sheet1!$B$2:$B$7</c:f>
              <c:numCache>
                <c:formatCode>General</c:formatCode>
                <c:ptCount val="6"/>
                <c:pt idx="0">
                  <c:v>82581</c:v>
                </c:pt>
                <c:pt idx="1">
                  <c:v>81437</c:v>
                </c:pt>
                <c:pt idx="2">
                  <c:v>70587</c:v>
                </c:pt>
                <c:pt idx="3">
                  <c:v>71198</c:v>
                </c:pt>
                <c:pt idx="4">
                  <c:v>70444</c:v>
                </c:pt>
                <c:pt idx="5">
                  <c:v>74746</c:v>
                </c:pt>
              </c:numCache>
            </c:numRef>
          </c:val>
          <c:smooth val="0"/>
          <c:extLst xmlns:c16r2="http://schemas.microsoft.com/office/drawing/2015/06/chart">
            <c:ext xmlns:c16="http://schemas.microsoft.com/office/drawing/2014/chart" uri="{C3380CC4-5D6E-409C-BE32-E72D297353CC}">
              <c16:uniqueId val="{00000000-1FB1-4558-B116-37444861B766}"/>
            </c:ext>
          </c:extLst>
        </c:ser>
        <c:ser>
          <c:idx val="1"/>
          <c:order val="1"/>
          <c:tx>
            <c:v>Treasury credits</c:v>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Sheet1!$A$2:$A$7</c:f>
              <c:numCache>
                <c:formatCode>General</c:formatCode>
                <c:ptCount val="6"/>
                <c:pt idx="0">
                  <c:v>2012</c:v>
                </c:pt>
                <c:pt idx="1">
                  <c:v>2013</c:v>
                </c:pt>
                <c:pt idx="2">
                  <c:v>2014</c:v>
                </c:pt>
                <c:pt idx="3">
                  <c:v>2015</c:v>
                </c:pt>
                <c:pt idx="4">
                  <c:v>2016</c:v>
                </c:pt>
                <c:pt idx="5">
                  <c:v>2017</c:v>
                </c:pt>
              </c:numCache>
            </c:numRef>
          </c:cat>
          <c:val>
            <c:numRef>
              <c:f>Sheet1!$C$2:$C$7</c:f>
              <c:numCache>
                <c:formatCode>General</c:formatCode>
                <c:ptCount val="6"/>
                <c:pt idx="0">
                  <c:v>869749</c:v>
                </c:pt>
                <c:pt idx="1">
                  <c:v>871342</c:v>
                </c:pt>
                <c:pt idx="2">
                  <c:v>887179</c:v>
                </c:pt>
                <c:pt idx="3">
                  <c:v>983022</c:v>
                </c:pt>
                <c:pt idx="4">
                  <c:v>1034688</c:v>
                </c:pt>
                <c:pt idx="5">
                  <c:v>1081296</c:v>
                </c:pt>
              </c:numCache>
            </c:numRef>
          </c:val>
          <c:smooth val="0"/>
          <c:extLst xmlns:c16r2="http://schemas.microsoft.com/office/drawing/2015/06/chart">
            <c:ext xmlns:c16="http://schemas.microsoft.com/office/drawing/2014/chart" uri="{C3380CC4-5D6E-409C-BE32-E72D297353CC}">
              <c16:uniqueId val="{00000001-1FB1-4558-B116-37444861B766}"/>
            </c:ext>
          </c:extLst>
        </c:ser>
        <c:ser>
          <c:idx val="2"/>
          <c:order val="2"/>
          <c:tx>
            <c:v>Credits for stock financing</c:v>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Sheet1!$A$2:$A$7</c:f>
              <c:numCache>
                <c:formatCode>General</c:formatCode>
                <c:ptCount val="6"/>
                <c:pt idx="0">
                  <c:v>2012</c:v>
                </c:pt>
                <c:pt idx="1">
                  <c:v>2013</c:v>
                </c:pt>
                <c:pt idx="2">
                  <c:v>2014</c:v>
                </c:pt>
                <c:pt idx="3">
                  <c:v>2015</c:v>
                </c:pt>
                <c:pt idx="4">
                  <c:v>2016</c:v>
                </c:pt>
                <c:pt idx="5">
                  <c:v>2017</c:v>
                </c:pt>
              </c:numCache>
            </c:numRef>
          </c:cat>
          <c:val>
            <c:numRef>
              <c:f>Sheet1!$D$2:$D$7</c:f>
              <c:numCache>
                <c:formatCode>General</c:formatCode>
                <c:ptCount val="6"/>
                <c:pt idx="0">
                  <c:v>165184</c:v>
                </c:pt>
                <c:pt idx="1">
                  <c:v>159453</c:v>
                </c:pt>
                <c:pt idx="2">
                  <c:v>146170</c:v>
                </c:pt>
                <c:pt idx="3">
                  <c:v>152629</c:v>
                </c:pt>
                <c:pt idx="4">
                  <c:v>152589</c:v>
                </c:pt>
                <c:pt idx="5">
                  <c:v>141986</c:v>
                </c:pt>
              </c:numCache>
            </c:numRef>
          </c:val>
          <c:smooth val="0"/>
          <c:extLst xmlns:c16r2="http://schemas.microsoft.com/office/drawing/2015/06/chart">
            <c:ext xmlns:c16="http://schemas.microsoft.com/office/drawing/2014/chart" uri="{C3380CC4-5D6E-409C-BE32-E72D297353CC}">
              <c16:uniqueId val="{00000002-1FB1-4558-B116-37444861B766}"/>
            </c:ext>
          </c:extLst>
        </c:ser>
        <c:ser>
          <c:idx val="3"/>
          <c:order val="3"/>
          <c:tx>
            <c:v>Credit for equipment</c:v>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Sheet1!$A$2:$A$7</c:f>
              <c:numCache>
                <c:formatCode>General</c:formatCode>
                <c:ptCount val="6"/>
                <c:pt idx="0">
                  <c:v>2012</c:v>
                </c:pt>
                <c:pt idx="1">
                  <c:v>2013</c:v>
                </c:pt>
                <c:pt idx="2">
                  <c:v>2014</c:v>
                </c:pt>
                <c:pt idx="3">
                  <c:v>2015</c:v>
                </c:pt>
                <c:pt idx="4">
                  <c:v>2016</c:v>
                </c:pt>
                <c:pt idx="5">
                  <c:v>2017</c:v>
                </c:pt>
              </c:numCache>
            </c:numRef>
          </c:cat>
          <c:val>
            <c:numRef>
              <c:f>Sheet1!$E$2:$E$7</c:f>
              <c:numCache>
                <c:formatCode>General</c:formatCode>
                <c:ptCount val="6"/>
                <c:pt idx="0">
                  <c:v>476227</c:v>
                </c:pt>
                <c:pt idx="1">
                  <c:v>493829</c:v>
                </c:pt>
                <c:pt idx="2">
                  <c:v>505661</c:v>
                </c:pt>
                <c:pt idx="3">
                  <c:v>539300</c:v>
                </c:pt>
                <c:pt idx="4">
                  <c:v>570721</c:v>
                </c:pt>
                <c:pt idx="5">
                  <c:v>597342</c:v>
                </c:pt>
              </c:numCache>
            </c:numRef>
          </c:val>
          <c:smooth val="0"/>
          <c:extLst xmlns:c16r2="http://schemas.microsoft.com/office/drawing/2015/06/chart">
            <c:ext xmlns:c16="http://schemas.microsoft.com/office/drawing/2014/chart" uri="{C3380CC4-5D6E-409C-BE32-E72D297353CC}">
              <c16:uniqueId val="{00000003-1FB1-4558-B116-37444861B766}"/>
            </c:ext>
          </c:extLst>
        </c:ser>
        <c:ser>
          <c:idx val="4"/>
          <c:order val="4"/>
          <c:tx>
            <c:v>Mortgage credits</c:v>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numRef>
              <c:f>Sheet1!$A$2:$A$7</c:f>
              <c:numCache>
                <c:formatCode>General</c:formatCode>
                <c:ptCount val="6"/>
                <c:pt idx="0">
                  <c:v>2012</c:v>
                </c:pt>
                <c:pt idx="1">
                  <c:v>2013</c:v>
                </c:pt>
                <c:pt idx="2">
                  <c:v>2014</c:v>
                </c:pt>
                <c:pt idx="3">
                  <c:v>2015</c:v>
                </c:pt>
                <c:pt idx="4">
                  <c:v>2016</c:v>
                </c:pt>
                <c:pt idx="5">
                  <c:v>2017</c:v>
                </c:pt>
              </c:numCache>
            </c:numRef>
          </c:cat>
          <c:val>
            <c:numRef>
              <c:f>Sheet1!$F$2:$F$7</c:f>
              <c:numCache>
                <c:formatCode>General</c:formatCode>
                <c:ptCount val="6"/>
                <c:pt idx="0">
                  <c:v>354242</c:v>
                </c:pt>
                <c:pt idx="1">
                  <c:v>391684</c:v>
                </c:pt>
                <c:pt idx="2">
                  <c:v>421226</c:v>
                </c:pt>
                <c:pt idx="3">
                  <c:v>435702</c:v>
                </c:pt>
                <c:pt idx="4">
                  <c:v>491779</c:v>
                </c:pt>
                <c:pt idx="5">
                  <c:v>558884</c:v>
                </c:pt>
              </c:numCache>
            </c:numRef>
          </c:val>
          <c:smooth val="0"/>
          <c:extLst xmlns:c16r2="http://schemas.microsoft.com/office/drawing/2015/06/chart">
            <c:ext xmlns:c16="http://schemas.microsoft.com/office/drawing/2014/chart" uri="{C3380CC4-5D6E-409C-BE32-E72D297353CC}">
              <c16:uniqueId val="{00000004-1FB1-4558-B116-37444861B766}"/>
            </c:ext>
          </c:extLst>
        </c:ser>
        <c:ser>
          <c:idx val="5"/>
          <c:order val="5"/>
          <c:tx>
            <c:strRef>
              <c:f>Sheet1!$G$1</c:f>
              <c:strCache>
                <c:ptCount val="1"/>
                <c:pt idx="0">
                  <c:v>Other loans for real estate investments</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numRef>
              <c:f>Sheet1!$A$2:$A$7</c:f>
              <c:numCache>
                <c:formatCode>General</c:formatCode>
                <c:ptCount val="6"/>
                <c:pt idx="0">
                  <c:v>2012</c:v>
                </c:pt>
                <c:pt idx="1">
                  <c:v>2013</c:v>
                </c:pt>
                <c:pt idx="2">
                  <c:v>2014</c:v>
                </c:pt>
                <c:pt idx="3">
                  <c:v>2015</c:v>
                </c:pt>
                <c:pt idx="4">
                  <c:v>2016</c:v>
                </c:pt>
                <c:pt idx="5">
                  <c:v>2017</c:v>
                </c:pt>
              </c:numCache>
            </c:numRef>
          </c:cat>
          <c:val>
            <c:numRef>
              <c:f>Sheet1!$G$2:$G$7</c:f>
              <c:numCache>
                <c:formatCode>General</c:formatCode>
                <c:ptCount val="6"/>
                <c:pt idx="0">
                  <c:v>418751</c:v>
                </c:pt>
                <c:pt idx="1">
                  <c:v>433471</c:v>
                </c:pt>
                <c:pt idx="2">
                  <c:v>440735</c:v>
                </c:pt>
                <c:pt idx="3">
                  <c:v>510378</c:v>
                </c:pt>
                <c:pt idx="4">
                  <c:v>542263</c:v>
                </c:pt>
                <c:pt idx="5">
                  <c:v>572546</c:v>
                </c:pt>
              </c:numCache>
            </c:numRef>
          </c:val>
          <c:smooth val="0"/>
          <c:extLst xmlns:c16r2="http://schemas.microsoft.com/office/drawing/2015/06/chart">
            <c:ext xmlns:c16="http://schemas.microsoft.com/office/drawing/2014/chart" uri="{C3380CC4-5D6E-409C-BE32-E72D297353CC}">
              <c16:uniqueId val="{00000005-1FB1-4558-B116-37444861B766}"/>
            </c:ext>
          </c:extLst>
        </c:ser>
        <c:dLbls>
          <c:showLegendKey val="0"/>
          <c:showVal val="0"/>
          <c:showCatName val="0"/>
          <c:showSerName val="0"/>
          <c:showPercent val="0"/>
          <c:showBubbleSize val="0"/>
        </c:dLbls>
        <c:marker val="1"/>
        <c:smooth val="0"/>
        <c:axId val="78153984"/>
        <c:axId val="78168448"/>
      </c:lineChart>
      <c:catAx>
        <c:axId val="78153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crossAx val="78168448"/>
        <c:crosses val="autoZero"/>
        <c:auto val="1"/>
        <c:lblAlgn val="ctr"/>
        <c:lblOffset val="100"/>
        <c:noMultiLvlLbl val="0"/>
      </c:catAx>
      <c:valAx>
        <c:axId val="78168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crossAx val="78153984"/>
        <c:crosses val="autoZero"/>
        <c:crossBetween val="between"/>
      </c:valAx>
      <c:spPr>
        <a:noFill/>
        <a:ln>
          <a:noFill/>
        </a:ln>
        <a:effectLst/>
      </c:spPr>
    </c:plotArea>
    <c:legend>
      <c:legendPos val="b"/>
      <c:layout>
        <c:manualLayout>
          <c:xMode val="edge"/>
          <c:yMode val="edge"/>
          <c:x val="0.12281872830412327"/>
          <c:y val="0.65494090695310481"/>
          <c:w val="0.82382163167104117"/>
          <c:h val="0.3435050126930854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o-RO"/>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Sheet1!$A$2</c:f>
              <c:strCache>
                <c:ptCount val="1"/>
                <c:pt idx="0">
                  <c:v>74746</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A-383B-46EF-BEB4-4B8426C6858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383B-46EF-BEB4-4B8426C68582}"/>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C-383B-46EF-BEB4-4B8426C68582}"/>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D-383B-46EF-BEB4-4B8426C68582}"/>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E-383B-46EF-BEB4-4B8426C68582}"/>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F-383B-46EF-BEB4-4B8426C68582}"/>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0-383B-46EF-BEB4-4B8426C68582}"/>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1-383B-46EF-BEB4-4B8426C68582}"/>
              </c:ext>
            </c:extLst>
          </c:dPt>
          <c:dLbls>
            <c:dLbl>
              <c:idx val="0"/>
              <c:layout>
                <c:manualLayout>
                  <c:x val="-6.0409924487594392E-2"/>
                  <c:y val="-7.1428571428571438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A-383B-46EF-BEB4-4B8426C68582}"/>
                </c:ext>
                <c:ext xmlns:c15="http://schemas.microsoft.com/office/drawing/2012/chart" uri="{CE6537A1-D6FC-4f65-9D91-7224C49458BB}"/>
              </c:extLst>
            </c:dLbl>
            <c:dLbl>
              <c:idx val="1"/>
              <c:layout>
                <c:manualLayout>
                  <c:x val="4.3749999999999997E-2"/>
                  <c:y val="-0.31396073645775829"/>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ro-RO"/>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383B-46EF-BEB4-4B8426C68582}"/>
                </c:ext>
                <c:ext xmlns:c15="http://schemas.microsoft.com/office/drawing/2012/chart" uri="{CE6537A1-D6FC-4f65-9D91-7224C49458BB}"/>
              </c:extLst>
            </c:dLbl>
            <c:dLbl>
              <c:idx val="2"/>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ro-RO"/>
                </a:p>
              </c:txPr>
              <c:dLblPos val="outEnd"/>
              <c:showLegendKey val="0"/>
              <c:showVal val="0"/>
              <c:showCatName val="1"/>
              <c:showSerName val="0"/>
              <c:showPercent val="1"/>
              <c:showBubbleSize val="0"/>
            </c:dLbl>
            <c:dLbl>
              <c:idx val="3"/>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ro-RO"/>
                </a:p>
              </c:txPr>
              <c:dLblPos val="outEnd"/>
              <c:showLegendKey val="0"/>
              <c:showVal val="0"/>
              <c:showCatName val="1"/>
              <c:showSerName val="0"/>
              <c:showPercent val="1"/>
              <c:showBubbleSize val="0"/>
            </c:dLbl>
            <c:dLbl>
              <c:idx val="4"/>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ro-RO"/>
                </a:p>
              </c:txPr>
              <c:dLblPos val="outEnd"/>
              <c:showLegendKey val="0"/>
              <c:showVal val="0"/>
              <c:showCatName val="1"/>
              <c:showSerName val="0"/>
              <c:showPercent val="1"/>
              <c:showBubbleSize val="0"/>
            </c:dLbl>
            <c:dLbl>
              <c:idx val="5"/>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ro-RO"/>
                </a:p>
              </c:txPr>
              <c:dLblPos val="outEnd"/>
              <c:showLegendKey val="0"/>
              <c:showVal val="0"/>
              <c:showCatName val="1"/>
              <c:showSerName val="0"/>
              <c:showPercent val="1"/>
              <c:showBubbleSize val="0"/>
            </c:dLbl>
            <c:dLbl>
              <c:idx val="6"/>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ro-RO"/>
                </a:p>
              </c:txPr>
              <c:dLblPos val="outEnd"/>
              <c:showLegendKey val="0"/>
              <c:showVal val="0"/>
              <c:showCatName val="1"/>
              <c:showSerName val="0"/>
              <c:showPercent val="1"/>
              <c:showBubbleSize val="0"/>
            </c:dLbl>
            <c:dLbl>
              <c:idx val="7"/>
              <c:layout>
                <c:manualLayout>
                  <c:x val="1.0787486515641856E-2"/>
                  <c:y val="-1.1904761904761904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ro-RO"/>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1-383B-46EF-BEB4-4B8426C68582}"/>
                </c:ext>
                <c:ext xmlns:c15="http://schemas.microsoft.com/office/drawing/2012/chart" uri="{CE6537A1-D6FC-4f65-9D91-7224C49458BB}"/>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ro-RO"/>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Sheet1!$B$1:$I$1</c:f>
              <c:strCache>
                <c:ptCount val="8"/>
                <c:pt idx="0">
                  <c:v>Treasury credits</c:v>
                </c:pt>
                <c:pt idx="1">
                  <c:v>Credits for financing foreign trade operations</c:v>
                </c:pt>
                <c:pt idx="2">
                  <c:v>Credits for stock financing</c:v>
                </c:pt>
                <c:pt idx="3">
                  <c:v>Credits for equipment</c:v>
                </c:pt>
                <c:pt idx="4">
                  <c:v>Mortgage credits</c:v>
                </c:pt>
                <c:pt idx="5">
                  <c:v>Alte credite pentru investiţii imobiliare</c:v>
                </c:pt>
                <c:pt idx="6">
                  <c:v>Other credits granted to customers</c:v>
                </c:pt>
                <c:pt idx="7">
                  <c:v>Bonds</c:v>
                </c:pt>
              </c:strCache>
            </c:strRef>
          </c:cat>
          <c:val>
            <c:numRef>
              <c:f>Sheet1!$B$2:$I$2</c:f>
              <c:numCache>
                <c:formatCode>General</c:formatCode>
                <c:ptCount val="8"/>
                <c:pt idx="0">
                  <c:v>1081296</c:v>
                </c:pt>
                <c:pt idx="1">
                  <c:v>539</c:v>
                </c:pt>
                <c:pt idx="2">
                  <c:v>141986</c:v>
                </c:pt>
                <c:pt idx="3">
                  <c:v>597342</c:v>
                </c:pt>
                <c:pt idx="4">
                  <c:v>558884</c:v>
                </c:pt>
                <c:pt idx="5">
                  <c:v>572546</c:v>
                </c:pt>
                <c:pt idx="6">
                  <c:v>324201</c:v>
                </c:pt>
                <c:pt idx="7">
                  <c:v>4538</c:v>
                </c:pt>
              </c:numCache>
            </c:numRef>
          </c:val>
          <c:extLst xmlns:c16r2="http://schemas.microsoft.com/office/drawing/2015/06/chart">
            <c:ext xmlns:c16="http://schemas.microsoft.com/office/drawing/2014/chart" uri="{C3380CC4-5D6E-409C-BE32-E72D297353CC}">
              <c16:uniqueId val="{00000000-383B-46EF-BEB4-4B8426C68582}"/>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1">
    <c:autoUpdate val="0"/>
  </c:externalData>
</c:chartSpace>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8</Pages>
  <Words>2858</Words>
  <Characters>16579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3</cp:revision>
  <dcterms:created xsi:type="dcterms:W3CDTF">2018-10-11T21:22:00Z</dcterms:created>
  <dcterms:modified xsi:type="dcterms:W3CDTF">2018-10-14T21:16:00Z</dcterms:modified>
</cp:coreProperties>
</file>