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78" w:rsidRPr="00257F48" w:rsidRDefault="00694778" w:rsidP="00694778">
      <w:pPr>
        <w:spacing w:line="240" w:lineRule="auto"/>
        <w:jc w:val="center"/>
        <w:rPr>
          <w:rFonts w:ascii="Times New Roman" w:hAnsi="Times New Roman" w:cs="Times New Roman"/>
          <w:b/>
          <w:sz w:val="28"/>
          <w:szCs w:val="28"/>
          <w:lang w:val="ro-RO"/>
        </w:rPr>
      </w:pPr>
      <w:r w:rsidRPr="00257F48">
        <w:rPr>
          <w:rFonts w:ascii="Times New Roman" w:hAnsi="Times New Roman" w:cs="Times New Roman"/>
          <w:b/>
          <w:sz w:val="28"/>
          <w:szCs w:val="28"/>
          <w:lang w:val="ro-RO"/>
        </w:rPr>
        <w:t>Modificări ale modelului actorului rațional</w:t>
      </w:r>
      <w:r w:rsidR="002A367A">
        <w:rPr>
          <w:rFonts w:ascii="Times New Roman" w:hAnsi="Times New Roman" w:cs="Times New Roman"/>
          <w:b/>
          <w:sz w:val="28"/>
          <w:szCs w:val="28"/>
          <w:lang w:val="ro-RO"/>
        </w:rPr>
        <w:t xml:space="preserve"> în administrația publică</w:t>
      </w:r>
    </w:p>
    <w:p w:rsidR="00694778" w:rsidRPr="00257F48" w:rsidRDefault="00694778" w:rsidP="00694778">
      <w:pPr>
        <w:spacing w:line="240" w:lineRule="auto"/>
        <w:jc w:val="center"/>
        <w:rPr>
          <w:rFonts w:ascii="Times New Roman" w:hAnsi="Times New Roman" w:cs="Times New Roman"/>
          <w:b/>
          <w:sz w:val="28"/>
          <w:szCs w:val="28"/>
          <w:lang w:val="ro-RO"/>
        </w:rPr>
      </w:pPr>
      <w:r w:rsidRPr="00257F48">
        <w:rPr>
          <w:rFonts w:ascii="Times New Roman" w:hAnsi="Times New Roman" w:cs="Times New Roman"/>
          <w:b/>
          <w:sz w:val="28"/>
          <w:szCs w:val="28"/>
          <w:lang w:val="ro-RO"/>
        </w:rPr>
        <w:t>în intervalul 2013  - 2016. Un studiu de caz</w:t>
      </w:r>
    </w:p>
    <w:p w:rsidR="00694778" w:rsidRDefault="00694778" w:rsidP="00694778">
      <w:pPr>
        <w:spacing w:line="360" w:lineRule="auto"/>
        <w:jc w:val="center"/>
        <w:rPr>
          <w:rFonts w:ascii="Times New Roman" w:hAnsi="Times New Roman" w:cs="Times New Roman"/>
          <w:b/>
          <w:lang w:val="ro-RO"/>
        </w:rPr>
      </w:pPr>
    </w:p>
    <w:p w:rsidR="00694778" w:rsidRPr="00427E1B" w:rsidRDefault="00694778" w:rsidP="00694778">
      <w:pPr>
        <w:spacing w:line="360" w:lineRule="auto"/>
        <w:jc w:val="center"/>
        <w:rPr>
          <w:rFonts w:ascii="Times New Roman" w:hAnsi="Times New Roman" w:cs="Times New Roman"/>
          <w:b/>
          <w:lang w:val="ro-RO"/>
        </w:rPr>
      </w:pPr>
      <w:r w:rsidRPr="00427E1B">
        <w:rPr>
          <w:rFonts w:ascii="Times New Roman" w:hAnsi="Times New Roman" w:cs="Times New Roman"/>
          <w:b/>
          <w:lang w:val="ro-RO"/>
        </w:rPr>
        <w:t>Dorina ŢICU</w:t>
      </w:r>
      <w:r w:rsidRPr="00427E1B">
        <w:rPr>
          <w:rStyle w:val="FootnoteReference"/>
          <w:rFonts w:ascii="Times New Roman" w:hAnsi="Times New Roman" w:cs="Times New Roman"/>
          <w:b/>
          <w:lang w:val="ro-RO"/>
        </w:rPr>
        <w:footnoteReference w:id="2"/>
      </w:r>
    </w:p>
    <w:p w:rsidR="00694778" w:rsidRDefault="00DD2739" w:rsidP="00DD2739">
      <w:pPr>
        <w:ind w:firstLine="720"/>
        <w:rPr>
          <w:rFonts w:ascii="Times New Roman" w:hAnsi="Times New Roman" w:cs="Times New Roman"/>
          <w:b/>
          <w:sz w:val="24"/>
          <w:szCs w:val="24"/>
          <w:lang w:val="ro-RO"/>
        </w:rPr>
      </w:pPr>
      <w:r>
        <w:rPr>
          <w:rFonts w:ascii="Times New Roman" w:hAnsi="Times New Roman" w:cs="Times New Roman"/>
          <w:b/>
          <w:sz w:val="24"/>
          <w:szCs w:val="24"/>
          <w:lang w:val="ro-RO"/>
        </w:rPr>
        <w:t>Abstract</w:t>
      </w:r>
    </w:p>
    <w:p w:rsidR="00DD2739" w:rsidRPr="00DD2739" w:rsidRDefault="00DD2739" w:rsidP="00DD2739">
      <w:pPr>
        <w:ind w:firstLine="720"/>
        <w:jc w:val="both"/>
        <w:rPr>
          <w:rFonts w:ascii="Times New Roman" w:hAnsi="Times New Roman" w:cs="Times New Roman"/>
          <w:sz w:val="24"/>
          <w:szCs w:val="24"/>
          <w:lang w:val="ro-RO"/>
        </w:rPr>
      </w:pPr>
      <w:r w:rsidRPr="00DD2739">
        <w:rPr>
          <w:rFonts w:ascii="Times New Roman" w:hAnsi="Times New Roman" w:cs="Times New Roman"/>
          <w:sz w:val="24"/>
          <w:szCs w:val="24"/>
          <w:lang w:val="ro-RO"/>
        </w:rPr>
        <w:t>Articolul de față îți propune să observe care sunt modificările survenite în adminis</w:t>
      </w:r>
      <w:r w:rsidR="00983F69">
        <w:rPr>
          <w:rFonts w:ascii="Times New Roman" w:hAnsi="Times New Roman" w:cs="Times New Roman"/>
          <w:sz w:val="24"/>
          <w:szCs w:val="24"/>
          <w:lang w:val="ro-RO"/>
        </w:rPr>
        <w:t>t</w:t>
      </w:r>
      <w:r w:rsidRPr="00DD2739">
        <w:rPr>
          <w:rFonts w:ascii="Times New Roman" w:hAnsi="Times New Roman" w:cs="Times New Roman"/>
          <w:sz w:val="24"/>
          <w:szCs w:val="24"/>
          <w:lang w:val="ro-RO"/>
        </w:rPr>
        <w:t>rația publică locală</w:t>
      </w:r>
      <w:r w:rsidR="00983F69">
        <w:rPr>
          <w:rFonts w:ascii="Times New Roman" w:hAnsi="Times New Roman" w:cs="Times New Roman"/>
          <w:sz w:val="24"/>
          <w:szCs w:val="24"/>
          <w:lang w:val="ro-RO"/>
        </w:rPr>
        <w:t>,</w:t>
      </w:r>
      <w:r w:rsidRPr="00DD2739">
        <w:rPr>
          <w:rFonts w:ascii="Times New Roman" w:hAnsi="Times New Roman" w:cs="Times New Roman"/>
          <w:sz w:val="24"/>
          <w:szCs w:val="24"/>
          <w:lang w:val="ro-RO"/>
        </w:rPr>
        <w:t xml:space="preserve"> prin prisma modelului actorului rațional, ca model identificat ca fiind dominant la acest nivel</w:t>
      </w:r>
      <w:r w:rsidR="00983F69">
        <w:rPr>
          <w:rFonts w:ascii="Times New Roman" w:hAnsi="Times New Roman" w:cs="Times New Roman"/>
          <w:sz w:val="24"/>
          <w:szCs w:val="24"/>
          <w:lang w:val="ro-RO"/>
        </w:rPr>
        <w:t>,</w:t>
      </w:r>
      <w:r w:rsidRPr="00DD2739">
        <w:rPr>
          <w:rFonts w:ascii="Times New Roman" w:hAnsi="Times New Roman" w:cs="Times New Roman"/>
          <w:sz w:val="24"/>
          <w:szCs w:val="24"/>
          <w:lang w:val="ro-RO"/>
        </w:rPr>
        <w:t xml:space="preserve"> în baza unei cercetări realizate în anul 2013. În baza unui studiu de caz aplicat asupra Primăriei Municipiului Vaslui, articolul reia cercetarea realizată în anul 2013</w:t>
      </w:r>
      <w:r w:rsidR="00983F69">
        <w:rPr>
          <w:rFonts w:ascii="Times New Roman" w:hAnsi="Times New Roman" w:cs="Times New Roman"/>
          <w:sz w:val="24"/>
          <w:szCs w:val="24"/>
          <w:lang w:val="ro-RO"/>
        </w:rPr>
        <w:t xml:space="preserve"> -</w:t>
      </w:r>
      <w:r w:rsidRPr="00DD2739">
        <w:rPr>
          <w:rFonts w:ascii="Times New Roman" w:hAnsi="Times New Roman" w:cs="Times New Roman"/>
          <w:sz w:val="24"/>
          <w:szCs w:val="24"/>
          <w:lang w:val="ro-RO"/>
        </w:rPr>
        <w:t xml:space="preserve"> în anul 2016</w:t>
      </w:r>
      <w:r w:rsidR="00983F69">
        <w:rPr>
          <w:rFonts w:ascii="Times New Roman" w:hAnsi="Times New Roman" w:cs="Times New Roman"/>
          <w:sz w:val="24"/>
          <w:szCs w:val="24"/>
          <w:lang w:val="ro-RO"/>
        </w:rPr>
        <w:t>,</w:t>
      </w:r>
      <w:r w:rsidRPr="00DD2739">
        <w:rPr>
          <w:rFonts w:ascii="Times New Roman" w:hAnsi="Times New Roman" w:cs="Times New Roman"/>
          <w:sz w:val="24"/>
          <w:szCs w:val="24"/>
          <w:lang w:val="ro-RO"/>
        </w:rPr>
        <w:t xml:space="preserve"> pentru a evidenția dacă există modificări ale modelului, prin prisma actorilor implicați la acest nivel.</w:t>
      </w:r>
    </w:p>
    <w:p w:rsidR="00DD2739" w:rsidRPr="00DD2739" w:rsidRDefault="00DD2739" w:rsidP="00DD2739">
      <w:pPr>
        <w:ind w:firstLine="720"/>
        <w:rPr>
          <w:rFonts w:ascii="Times New Roman" w:hAnsi="Times New Roman" w:cs="Times New Roman"/>
          <w:sz w:val="24"/>
          <w:szCs w:val="24"/>
          <w:lang w:val="ro-RO"/>
        </w:rPr>
      </w:pPr>
      <w:r>
        <w:rPr>
          <w:rFonts w:ascii="Times New Roman" w:hAnsi="Times New Roman" w:cs="Times New Roman"/>
          <w:b/>
          <w:sz w:val="24"/>
          <w:szCs w:val="24"/>
          <w:lang w:val="ro-RO"/>
        </w:rPr>
        <w:t>Cuvinte-cheie</w:t>
      </w:r>
      <w:r w:rsidRPr="00DD2739">
        <w:rPr>
          <w:rFonts w:ascii="Times New Roman" w:hAnsi="Times New Roman" w:cs="Times New Roman"/>
          <w:sz w:val="24"/>
          <w:szCs w:val="24"/>
          <w:lang w:val="ro-RO"/>
        </w:rPr>
        <w:t>: administrație publi</w:t>
      </w:r>
      <w:r w:rsidR="00BB4654">
        <w:rPr>
          <w:rFonts w:ascii="Times New Roman" w:hAnsi="Times New Roman" w:cs="Times New Roman"/>
          <w:sz w:val="24"/>
          <w:szCs w:val="24"/>
          <w:lang w:val="ro-RO"/>
        </w:rPr>
        <w:t>că locală, modelul actorului raț</w:t>
      </w:r>
      <w:r w:rsidRPr="00DD2739">
        <w:rPr>
          <w:rFonts w:ascii="Times New Roman" w:hAnsi="Times New Roman" w:cs="Times New Roman"/>
          <w:sz w:val="24"/>
          <w:szCs w:val="24"/>
          <w:lang w:val="ro-RO"/>
        </w:rPr>
        <w:t>ional, actori decizionali</w:t>
      </w:r>
    </w:p>
    <w:p w:rsidR="00DD2739" w:rsidRDefault="00DD2739" w:rsidP="00DD2739">
      <w:pPr>
        <w:ind w:firstLine="720"/>
        <w:rPr>
          <w:rFonts w:ascii="Times New Roman" w:hAnsi="Times New Roman" w:cs="Times New Roman"/>
          <w:b/>
          <w:sz w:val="24"/>
          <w:szCs w:val="24"/>
          <w:lang w:val="ro-RO"/>
        </w:rPr>
      </w:pPr>
    </w:p>
    <w:p w:rsidR="00257F48" w:rsidRDefault="00257F48" w:rsidP="004E740F">
      <w:pPr>
        <w:pStyle w:val="ListParagraph"/>
        <w:numPr>
          <w:ilvl w:val="0"/>
          <w:numId w:val="1"/>
        </w:numPr>
        <w:spacing w:line="360" w:lineRule="auto"/>
        <w:rPr>
          <w:rFonts w:ascii="Times New Roman" w:hAnsi="Times New Roman" w:cs="Times New Roman"/>
          <w:b/>
          <w:sz w:val="24"/>
          <w:szCs w:val="24"/>
          <w:lang w:val="ro-RO"/>
        </w:rPr>
      </w:pPr>
      <w:r>
        <w:rPr>
          <w:rFonts w:ascii="Times New Roman" w:hAnsi="Times New Roman" w:cs="Times New Roman"/>
          <w:b/>
          <w:sz w:val="24"/>
          <w:szCs w:val="24"/>
          <w:lang w:val="ro-RO"/>
        </w:rPr>
        <w:t>Introducere – administrația publică și decidenții</w:t>
      </w:r>
    </w:p>
    <w:p w:rsidR="004E740F" w:rsidRDefault="004E740F" w:rsidP="004E740F">
      <w:pPr>
        <w:pStyle w:val="ListParagraph"/>
        <w:spacing w:line="360" w:lineRule="auto"/>
        <w:ind w:left="0" w:firstLine="720"/>
        <w:jc w:val="both"/>
        <w:rPr>
          <w:rFonts w:ascii="Times New Roman" w:hAnsi="Times New Roman" w:cs="Times New Roman"/>
          <w:sz w:val="24"/>
          <w:szCs w:val="24"/>
          <w:lang w:val="ro-RO"/>
        </w:rPr>
      </w:pPr>
      <w:r w:rsidRPr="004E740F">
        <w:rPr>
          <w:rFonts w:ascii="Times New Roman" w:hAnsi="Times New Roman" w:cs="Times New Roman"/>
          <w:sz w:val="24"/>
          <w:szCs w:val="24"/>
          <w:lang w:val="ro-RO"/>
        </w:rPr>
        <w:t xml:space="preserve">În general, prin administrație publică se înțelege </w:t>
      </w:r>
      <w:r>
        <w:rPr>
          <w:rFonts w:ascii="Times New Roman" w:hAnsi="Times New Roman" w:cs="Times New Roman"/>
          <w:sz w:val="24"/>
          <w:szCs w:val="24"/>
          <w:lang w:val="ro-RO"/>
        </w:rPr>
        <w:t>acea structură instituțională și instituținalizată care are ca scop rezolvarea unor probleme publice, care implementează în acest scop politici publice, asigură unei comunități bunuri și servicii publice.</w:t>
      </w:r>
    </w:p>
    <w:p w:rsidR="004E740F" w:rsidRDefault="00983F69" w:rsidP="004E740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ro-RO"/>
        </w:rPr>
        <w:t>Asigu</w:t>
      </w:r>
      <w:r w:rsidR="00FA40C9">
        <w:rPr>
          <w:rFonts w:ascii="Times New Roman" w:hAnsi="Times New Roman" w:cs="Times New Roman"/>
          <w:sz w:val="24"/>
          <w:szCs w:val="24"/>
          <w:lang w:val="ro-RO"/>
        </w:rPr>
        <w:t>rarea acestor deziderate este de apanajul actorilor-decidenți implicați în procesul decizional, indiferent de forma lor de organizare. Astfel nu există o tipologie a actorilor implicați în sectorul public, ei putând fi individuali sau colectivi; instituționalizați sau neinstituționalizați; legislativi, executivi, juridici; centrali sau regionali sau locali, etc</w:t>
      </w:r>
      <w:r w:rsidR="00FA40C9" w:rsidRPr="00FA40C9">
        <w:rPr>
          <w:rFonts w:ascii="Times New Roman" w:hAnsi="Times New Roman" w:cs="Times New Roman"/>
          <w:sz w:val="24"/>
          <w:szCs w:val="24"/>
          <w:lang w:val="ro-RO"/>
        </w:rPr>
        <w:t xml:space="preserve">. </w:t>
      </w:r>
      <w:r w:rsidR="00FA40C9" w:rsidRPr="00FA40C9">
        <w:rPr>
          <w:rFonts w:ascii="Times New Roman" w:hAnsi="Times New Roman" w:cs="Times New Roman"/>
          <w:sz w:val="24"/>
          <w:szCs w:val="24"/>
        </w:rPr>
        <w:t xml:space="preserve">Mai mult, </w:t>
      </w:r>
      <w:r w:rsidR="00FA40C9">
        <w:rPr>
          <w:rFonts w:ascii="Times New Roman" w:hAnsi="Times New Roman" w:cs="Times New Roman"/>
          <w:sz w:val="24"/>
          <w:szCs w:val="24"/>
        </w:rPr>
        <w:t>"</w:t>
      </w:r>
      <w:r w:rsidR="00FA40C9" w:rsidRPr="00FA40C9">
        <w:rPr>
          <w:rFonts w:ascii="Times New Roman" w:hAnsi="Times New Roman" w:cs="Times New Roman"/>
          <w:sz w:val="24"/>
          <w:szCs w:val="24"/>
        </w:rPr>
        <w:t>nivelul de implicare a diferiţilor actori poate varia în timp, iar în diferite momente ale procesului de elaborare a unei politici publice se pot implica noi actori</w:t>
      </w:r>
      <w:r w:rsidR="00FA40C9">
        <w:rPr>
          <w:rFonts w:ascii="Times New Roman" w:hAnsi="Times New Roman" w:cs="Times New Roman"/>
          <w:sz w:val="24"/>
          <w:szCs w:val="24"/>
        </w:rPr>
        <w:t xml:space="preserve">" (Howlett, </w:t>
      </w:r>
      <w:r w:rsidR="00FA40C9" w:rsidRPr="00FA40C9">
        <w:rPr>
          <w:rFonts w:ascii="Times New Roman" w:hAnsi="Times New Roman" w:cs="Times New Roman"/>
          <w:sz w:val="24"/>
          <w:szCs w:val="24"/>
        </w:rPr>
        <w:t>Ramesh, 1995)</w:t>
      </w:r>
      <w:r w:rsidR="00FA40C9" w:rsidRPr="00FA40C9">
        <w:rPr>
          <w:rStyle w:val="FootnoteReference"/>
          <w:rFonts w:ascii="Times New Roman" w:hAnsi="Times New Roman" w:cs="Times New Roman"/>
          <w:sz w:val="24"/>
          <w:szCs w:val="24"/>
        </w:rPr>
        <w:footnoteReference w:id="3"/>
      </w:r>
      <w:r w:rsidR="00FA40C9" w:rsidRPr="00FA40C9">
        <w:rPr>
          <w:rFonts w:ascii="Times New Roman" w:hAnsi="Times New Roman" w:cs="Times New Roman"/>
          <w:sz w:val="24"/>
          <w:szCs w:val="24"/>
        </w:rPr>
        <w:t>.</w:t>
      </w:r>
    </w:p>
    <w:p w:rsidR="00B34FFD" w:rsidRDefault="00B34FFD" w:rsidP="004E740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Acest fapt este unul extreme de important deoarece actorii sunt cei care determină procese</w:t>
      </w:r>
      <w:r w:rsidR="00030528">
        <w:rPr>
          <w:rFonts w:ascii="Times New Roman" w:hAnsi="Times New Roman" w:cs="Times New Roman"/>
          <w:sz w:val="24"/>
          <w:szCs w:val="24"/>
        </w:rPr>
        <w:t>le</w:t>
      </w:r>
      <w:r>
        <w:rPr>
          <w:rFonts w:ascii="Times New Roman" w:hAnsi="Times New Roman" w:cs="Times New Roman"/>
          <w:sz w:val="24"/>
          <w:szCs w:val="24"/>
        </w:rPr>
        <w:t xml:space="preserve"> și mecanismele instituționale, pe de o parte, iar, pe de altă parte, studiul lor trebuie să fie unul susținut dincolo de identitatea instituțională în sine, căci aceasta din urmă are tendința de a-și pune amprenta peste identitatea fiecărui decident în parte</w:t>
      </w:r>
      <w:r w:rsidR="00030528">
        <w:rPr>
          <w:rFonts w:ascii="Times New Roman" w:hAnsi="Times New Roman" w:cs="Times New Roman"/>
          <w:sz w:val="24"/>
          <w:szCs w:val="24"/>
        </w:rPr>
        <w:t>.</w:t>
      </w:r>
    </w:p>
    <w:p w:rsidR="00B34FFD" w:rsidRPr="004E740F" w:rsidRDefault="00B34FFD" w:rsidP="004E740F">
      <w:pPr>
        <w:pStyle w:val="ListParagraph"/>
        <w:spacing w:line="36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rPr>
        <w:lastRenderedPageBreak/>
        <w:t xml:space="preserve">Din acest punct de vedere, la nivelul sectorului public, așa după cum vorbim despre mecanisme și procese instituționale, tot așa trebuie să avem în calcul că subiectul acestora sunt actorii-decidenți, care pot să aibă trăsăturile lor dincolo de </w:t>
      </w:r>
      <w:r w:rsidRPr="00030528">
        <w:rPr>
          <w:rFonts w:ascii="Times New Roman" w:hAnsi="Times New Roman" w:cs="Times New Roman"/>
          <w:i/>
          <w:sz w:val="24"/>
          <w:szCs w:val="24"/>
        </w:rPr>
        <w:t>ethos</w:t>
      </w:r>
      <w:r>
        <w:rPr>
          <w:rFonts w:ascii="Times New Roman" w:hAnsi="Times New Roman" w:cs="Times New Roman"/>
          <w:sz w:val="24"/>
          <w:szCs w:val="24"/>
        </w:rPr>
        <w:t>-ul instituțional.</w:t>
      </w:r>
    </w:p>
    <w:p w:rsidR="00676E87" w:rsidRDefault="00676E87" w:rsidP="00257F48">
      <w:pPr>
        <w:pStyle w:val="ListParagraph"/>
        <w:ind w:left="1080"/>
        <w:rPr>
          <w:rFonts w:ascii="Times New Roman" w:hAnsi="Times New Roman" w:cs="Times New Roman"/>
          <w:b/>
          <w:sz w:val="24"/>
          <w:szCs w:val="24"/>
          <w:lang w:val="ro-RO"/>
        </w:rPr>
      </w:pPr>
    </w:p>
    <w:p w:rsidR="00257F48" w:rsidRDefault="00257F48" w:rsidP="000D757E">
      <w:pPr>
        <w:pStyle w:val="ListParagraph"/>
        <w:numPr>
          <w:ilvl w:val="0"/>
          <w:numId w:val="1"/>
        </w:numPr>
        <w:spacing w:after="0"/>
        <w:rPr>
          <w:rFonts w:ascii="Times New Roman" w:hAnsi="Times New Roman" w:cs="Times New Roman"/>
          <w:b/>
          <w:sz w:val="24"/>
          <w:szCs w:val="24"/>
          <w:lang w:val="ro-RO"/>
        </w:rPr>
      </w:pPr>
      <w:r>
        <w:rPr>
          <w:rFonts w:ascii="Times New Roman" w:hAnsi="Times New Roman" w:cs="Times New Roman"/>
          <w:b/>
          <w:sz w:val="24"/>
          <w:szCs w:val="24"/>
          <w:lang w:val="ro-RO"/>
        </w:rPr>
        <w:t>Rolul actorului în administrația publică locală</w:t>
      </w:r>
    </w:p>
    <w:p w:rsidR="00257F48" w:rsidRDefault="00135909" w:rsidP="000D757E">
      <w:pPr>
        <w:spacing w:after="0" w:line="360" w:lineRule="auto"/>
        <w:ind w:firstLine="720"/>
        <w:jc w:val="both"/>
        <w:rPr>
          <w:rFonts w:ascii="Times New Roman" w:hAnsi="Times New Roman" w:cs="Times New Roman"/>
          <w:sz w:val="24"/>
          <w:szCs w:val="24"/>
          <w:lang w:val="ro-RO"/>
        </w:rPr>
      </w:pPr>
      <w:r w:rsidRPr="00135909">
        <w:rPr>
          <w:rFonts w:ascii="Times New Roman" w:hAnsi="Times New Roman" w:cs="Times New Roman"/>
          <w:sz w:val="24"/>
          <w:szCs w:val="24"/>
          <w:lang w:val="ro-RO"/>
        </w:rPr>
        <w:t xml:space="preserve">Conform </w:t>
      </w:r>
      <w:r>
        <w:rPr>
          <w:rFonts w:ascii="Times New Roman" w:hAnsi="Times New Roman" w:cs="Times New Roman"/>
          <w:sz w:val="24"/>
          <w:szCs w:val="24"/>
          <w:lang w:val="ro-RO"/>
        </w:rPr>
        <w:t>autorilor S. Fernandez și H. Rainey</w:t>
      </w:r>
      <w:r>
        <w:rPr>
          <w:rStyle w:val="FootnoteReference"/>
          <w:rFonts w:ascii="Times New Roman" w:hAnsi="Times New Roman" w:cs="Times New Roman"/>
          <w:sz w:val="24"/>
          <w:szCs w:val="24"/>
          <w:lang w:val="ro-RO"/>
        </w:rPr>
        <w:footnoteReference w:id="4"/>
      </w:r>
      <w:r>
        <w:rPr>
          <w:rFonts w:ascii="Times New Roman" w:hAnsi="Times New Roman" w:cs="Times New Roman"/>
          <w:sz w:val="24"/>
          <w:szCs w:val="24"/>
          <w:lang w:val="ro-RO"/>
        </w:rPr>
        <w:t xml:space="preserve">, rolul actorilor la nivelul administrației publice (în speță, cea locală) este unul multiplu, după cum urmează: </w:t>
      </w:r>
    </w:p>
    <w:p w:rsidR="00135909" w:rsidRDefault="00135909" w:rsidP="000D757E">
      <w:pPr>
        <w:pStyle w:val="ListParagraph"/>
        <w:numPr>
          <w:ilvl w:val="0"/>
          <w:numId w:val="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asigure nevoile – prin nevoie înțelegându-se nevoia de schimbare a instituției</w:t>
      </w:r>
    </w:p>
    <w:p w:rsidR="00135909" w:rsidRDefault="00135909" w:rsidP="000D757E">
      <w:pPr>
        <w:pStyle w:val="ListParagraph"/>
        <w:numPr>
          <w:ilvl w:val="0"/>
          <w:numId w:val="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asigure un plan – să asigure un plan de implementare a activităților administrative (insclusiv cele care vizează modificări)</w:t>
      </w:r>
    </w:p>
    <w:p w:rsidR="00135909" w:rsidRDefault="00B62657" w:rsidP="000D757E">
      <w:pPr>
        <w:pStyle w:val="ListParagraph"/>
        <w:numPr>
          <w:ilvl w:val="0"/>
          <w:numId w:val="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construiască un anumit grad de susținere a activităților sale la nivelul instituției</w:t>
      </w:r>
    </w:p>
    <w:p w:rsidR="00B62657" w:rsidRDefault="00B62657" w:rsidP="00135909">
      <w:pPr>
        <w:pStyle w:val="ListParagraph"/>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își ia angajamente la cel mai înalt nivel managerial</w:t>
      </w:r>
    </w:p>
    <w:p w:rsidR="00B62657" w:rsidRDefault="00B62657" w:rsidP="00135909">
      <w:pPr>
        <w:pStyle w:val="ListParagraph"/>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construiască legături de susținere a activităților cu actorii externi instituției</w:t>
      </w:r>
    </w:p>
    <w:p w:rsidR="00B62657" w:rsidRDefault="00B62657" w:rsidP="00135909">
      <w:pPr>
        <w:pStyle w:val="ListParagraph"/>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asigure resurse pentru activitățile sale</w:t>
      </w:r>
    </w:p>
    <w:p w:rsidR="00B62657" w:rsidRDefault="00B62657" w:rsidP="00135909">
      <w:pPr>
        <w:pStyle w:val="ListParagraph"/>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Să-și instituționalizeze activitățile.</w:t>
      </w:r>
    </w:p>
    <w:p w:rsidR="00260443" w:rsidRDefault="00260443" w:rsidP="00260443">
      <w:pPr>
        <w:pStyle w:val="ListParagraph"/>
        <w:spacing w:line="36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Dincolo de aceste activități care determină trăsăturile actorilor la acest nivel, se poate observa că actorul decizional, ca și actor individual, este supus mediului administrativ și, totodată, aduce cu sine o serie de trăsăt</w:t>
      </w:r>
      <w:r w:rsidR="00030528">
        <w:rPr>
          <w:rFonts w:ascii="Times New Roman" w:hAnsi="Times New Roman" w:cs="Times New Roman"/>
          <w:sz w:val="24"/>
          <w:szCs w:val="24"/>
          <w:lang w:val="ro-RO"/>
        </w:rPr>
        <w:t>uri ale sale pe care le activeaz</w:t>
      </w:r>
      <w:r>
        <w:rPr>
          <w:rFonts w:ascii="Times New Roman" w:hAnsi="Times New Roman" w:cs="Times New Roman"/>
          <w:sz w:val="24"/>
          <w:szCs w:val="24"/>
          <w:lang w:val="ro-RO"/>
        </w:rPr>
        <w:t>ă la acest nivel, cu un grad mai mare sau mai mic de susținere.</w:t>
      </w:r>
    </w:p>
    <w:p w:rsidR="000672C3" w:rsidRDefault="000672C3" w:rsidP="008C32B2">
      <w:pPr>
        <w:pStyle w:val="ListParagraph"/>
        <w:spacing w:line="36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Se p</w:t>
      </w:r>
      <w:r w:rsidR="00260443">
        <w:rPr>
          <w:rFonts w:ascii="Times New Roman" w:hAnsi="Times New Roman" w:cs="Times New Roman"/>
          <w:sz w:val="24"/>
          <w:szCs w:val="24"/>
          <w:lang w:val="ro-RO"/>
        </w:rPr>
        <w:t>o</w:t>
      </w:r>
      <w:r>
        <w:rPr>
          <w:rFonts w:ascii="Times New Roman" w:hAnsi="Times New Roman" w:cs="Times New Roman"/>
          <w:sz w:val="24"/>
          <w:szCs w:val="24"/>
          <w:lang w:val="ro-RO"/>
        </w:rPr>
        <w:t>a</w:t>
      </w:r>
      <w:r w:rsidR="00260443">
        <w:rPr>
          <w:rFonts w:ascii="Times New Roman" w:hAnsi="Times New Roman" w:cs="Times New Roman"/>
          <w:sz w:val="24"/>
          <w:szCs w:val="24"/>
          <w:lang w:val="ro-RO"/>
        </w:rPr>
        <w:t>te spune că "actorii organizaționali aflați în interiorul unor rețele instituționale sunt provocați de susținerea unui echilibru între misiunea lor separată organizațională și autonomia instituțională, prioritățile strategice și regulile prin care sunt asigurate servicii publice și scopul și rolurile rețelelor de colaborare"</w:t>
      </w:r>
      <w:r w:rsidR="00260443">
        <w:rPr>
          <w:rStyle w:val="FootnoteReference"/>
          <w:rFonts w:ascii="Times New Roman" w:hAnsi="Times New Roman" w:cs="Times New Roman"/>
          <w:sz w:val="24"/>
          <w:szCs w:val="24"/>
          <w:lang w:val="ro-RO"/>
        </w:rPr>
        <w:footnoteReference w:id="5"/>
      </w:r>
      <w:r w:rsidR="00885B89">
        <w:rPr>
          <w:rFonts w:ascii="Times New Roman" w:hAnsi="Times New Roman" w:cs="Times New Roman"/>
          <w:sz w:val="24"/>
          <w:szCs w:val="24"/>
          <w:lang w:val="ro-RO"/>
        </w:rPr>
        <w:t xml:space="preserve">. </w:t>
      </w:r>
    </w:p>
    <w:p w:rsidR="008C32B2" w:rsidRDefault="00885B89" w:rsidP="008C32B2">
      <w:pPr>
        <w:pStyle w:val="ListParagraph"/>
        <w:spacing w:line="360" w:lineRule="auto"/>
        <w:ind w:left="0" w:firstLine="720"/>
        <w:jc w:val="both"/>
        <w:rPr>
          <w:rFonts w:ascii="Times New Roman" w:eastAsia="Calibri" w:hAnsi="Times New Roman" w:cs="Times New Roman"/>
          <w:sz w:val="24"/>
          <w:szCs w:val="24"/>
        </w:rPr>
      </w:pPr>
      <w:r w:rsidRPr="00885B89">
        <w:rPr>
          <w:rFonts w:ascii="Times New Roman" w:eastAsia="Calibri" w:hAnsi="Times New Roman" w:cs="Times New Roman"/>
          <w:sz w:val="24"/>
          <w:szCs w:val="24"/>
        </w:rPr>
        <w:t>“</w:t>
      </w:r>
      <w:r>
        <w:rPr>
          <w:rFonts w:ascii="Times New Roman" w:eastAsia="Calibri" w:hAnsi="Times New Roman" w:cs="Times New Roman"/>
          <w:sz w:val="24"/>
          <w:szCs w:val="24"/>
        </w:rPr>
        <w:t>Astfel, actorii trebuie să asigure păstrarea relațiilor, să negocieze cu succes pe un teren cu o multitudine de îngrădiri, cu responsabilități fragmentate și cu roluri fluide în cadrul rețelelor instituționale</w:t>
      </w:r>
      <w:r w:rsidRPr="00885B89">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6"/>
      </w:r>
      <w:r w:rsidR="008C32B2">
        <w:rPr>
          <w:rFonts w:ascii="Times New Roman" w:eastAsia="Calibri" w:hAnsi="Times New Roman" w:cs="Times New Roman"/>
          <w:sz w:val="24"/>
          <w:szCs w:val="24"/>
        </w:rPr>
        <w:t>.</w:t>
      </w:r>
    </w:p>
    <w:p w:rsidR="002B426B" w:rsidRDefault="008C32B2" w:rsidP="008C32B2">
      <w:pPr>
        <w:pStyle w:val="ListParagraph"/>
        <w:spacing w:line="360" w:lineRule="auto"/>
        <w:ind w:left="0"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rPr>
        <w:t xml:space="preserve">Adăugând faptul că toate aceste trăsături ale actorilor sunt specifice </w:t>
      </w:r>
      <w:r w:rsidRPr="0008196F">
        <w:rPr>
          <w:rFonts w:ascii="Times New Roman" w:eastAsia="Calibri" w:hAnsi="Times New Roman" w:cs="Times New Roman"/>
          <w:sz w:val="24"/>
          <w:szCs w:val="24"/>
          <w:lang w:val="ro-RO"/>
        </w:rPr>
        <w:t>m</w:t>
      </w:r>
      <w:r w:rsidR="002B426B" w:rsidRPr="0008196F">
        <w:rPr>
          <w:rFonts w:ascii="Times New Roman" w:eastAsia="Calibri" w:hAnsi="Times New Roman" w:cs="Times New Roman"/>
          <w:sz w:val="24"/>
          <w:szCs w:val="24"/>
          <w:lang w:val="ro-RO"/>
        </w:rPr>
        <w:t>odelul</w:t>
      </w:r>
      <w:r w:rsidRPr="0008196F">
        <w:rPr>
          <w:rFonts w:ascii="Times New Roman" w:eastAsia="Calibri" w:hAnsi="Times New Roman" w:cs="Times New Roman"/>
          <w:sz w:val="24"/>
          <w:szCs w:val="24"/>
          <w:lang w:val="ro-RO"/>
        </w:rPr>
        <w:t>ui</w:t>
      </w:r>
      <w:r w:rsidR="002B426B" w:rsidRPr="0008196F">
        <w:rPr>
          <w:rFonts w:ascii="Times New Roman" w:eastAsia="Calibri" w:hAnsi="Times New Roman" w:cs="Times New Roman"/>
          <w:sz w:val="24"/>
          <w:szCs w:val="24"/>
          <w:lang w:val="ro-RO"/>
        </w:rPr>
        <w:t xml:space="preserve"> actorului raţional</w:t>
      </w:r>
      <w:r w:rsidR="0008196F" w:rsidRPr="0008196F">
        <w:rPr>
          <w:rFonts w:ascii="Times New Roman" w:eastAsia="Calibri" w:hAnsi="Times New Roman" w:cs="Times New Roman"/>
          <w:sz w:val="24"/>
          <w:szCs w:val="24"/>
          <w:lang w:val="ro-RO"/>
        </w:rPr>
        <w:t xml:space="preserve">, </w:t>
      </w:r>
      <w:r w:rsidR="0008196F">
        <w:rPr>
          <w:rFonts w:ascii="Times New Roman" w:eastAsia="Calibri" w:hAnsi="Times New Roman" w:cs="Times New Roman"/>
          <w:sz w:val="24"/>
          <w:szCs w:val="24"/>
          <w:lang w:val="ro-RO"/>
        </w:rPr>
        <w:t xml:space="preserve">putem adăuga câteva dimensiuni ale activității lor. Modelul actorului rațional </w:t>
      </w:r>
      <w:r w:rsidR="002B426B" w:rsidRPr="002B426B">
        <w:rPr>
          <w:rFonts w:ascii="Times New Roman" w:eastAsia="Calibri" w:hAnsi="Times New Roman" w:cs="Times New Roman"/>
          <w:sz w:val="24"/>
          <w:szCs w:val="24"/>
          <w:lang w:val="ro-RO"/>
        </w:rPr>
        <w:t xml:space="preserve">a pornit de </w:t>
      </w:r>
      <w:r w:rsidR="002B426B" w:rsidRPr="002B426B">
        <w:rPr>
          <w:rFonts w:ascii="Times New Roman" w:eastAsia="Calibri" w:hAnsi="Times New Roman" w:cs="Times New Roman"/>
          <w:sz w:val="24"/>
          <w:szCs w:val="24"/>
          <w:lang w:val="ro-RO"/>
        </w:rPr>
        <w:lastRenderedPageBreak/>
        <w:t>la analizarea comportamentului raţional, analiză realizată în anii ’40 de matematicianul John von Neumann şi de economistul Oskar Morgenstern în lucrarea „Teoria jocurilor şi comportamentul economic” (1944)</w:t>
      </w:r>
      <w:r w:rsidR="002B426B" w:rsidRPr="002B426B">
        <w:rPr>
          <w:rStyle w:val="FootnoteReference"/>
          <w:rFonts w:ascii="Times New Roman" w:eastAsia="Calibri" w:hAnsi="Times New Roman" w:cs="Times New Roman"/>
          <w:sz w:val="24"/>
          <w:szCs w:val="24"/>
          <w:lang w:val="ro-RO"/>
        </w:rPr>
        <w:footnoteReference w:id="7"/>
      </w:r>
      <w:r w:rsidR="002B426B" w:rsidRPr="002B426B">
        <w:rPr>
          <w:rFonts w:ascii="Times New Roman" w:eastAsia="Calibri" w:hAnsi="Times New Roman" w:cs="Times New Roman"/>
          <w:sz w:val="24"/>
          <w:szCs w:val="24"/>
          <w:lang w:val="ro-RO"/>
        </w:rPr>
        <w:t>. Ulterior, cercetările aveau să fie continuate de Savage (1954)</w:t>
      </w:r>
      <w:r w:rsidR="004D4F87">
        <w:rPr>
          <w:rStyle w:val="FootnoteReference"/>
          <w:rFonts w:ascii="Times New Roman" w:eastAsia="Calibri" w:hAnsi="Times New Roman" w:cs="Times New Roman"/>
          <w:sz w:val="24"/>
          <w:szCs w:val="24"/>
          <w:lang w:val="ro-RO"/>
        </w:rPr>
        <w:footnoteReference w:id="8"/>
      </w:r>
      <w:r w:rsidR="002B426B" w:rsidRPr="002B426B">
        <w:rPr>
          <w:rFonts w:ascii="Times New Roman" w:eastAsia="Calibri" w:hAnsi="Times New Roman" w:cs="Times New Roman"/>
          <w:sz w:val="24"/>
          <w:szCs w:val="24"/>
          <w:lang w:val="ro-RO"/>
        </w:rPr>
        <w:t>, A.</w:t>
      </w:r>
      <w:r w:rsidR="0037445F">
        <w:rPr>
          <w:rFonts w:ascii="Times New Roman" w:eastAsia="Calibri" w:hAnsi="Times New Roman" w:cs="Times New Roman"/>
          <w:sz w:val="24"/>
          <w:szCs w:val="24"/>
          <w:lang w:val="ro-RO"/>
        </w:rPr>
        <w:t xml:space="preserve"> </w:t>
      </w:r>
      <w:r w:rsidR="00B116E6">
        <w:rPr>
          <w:rFonts w:ascii="Times New Roman" w:eastAsia="Calibri" w:hAnsi="Times New Roman" w:cs="Times New Roman"/>
          <w:sz w:val="24"/>
          <w:szCs w:val="24"/>
          <w:lang w:val="ro-RO"/>
        </w:rPr>
        <w:t>Downs (1957</w:t>
      </w:r>
      <w:r w:rsidR="002B426B" w:rsidRPr="002B426B">
        <w:rPr>
          <w:rFonts w:ascii="Times New Roman" w:eastAsia="Calibri" w:hAnsi="Times New Roman" w:cs="Times New Roman"/>
          <w:sz w:val="24"/>
          <w:szCs w:val="24"/>
          <w:lang w:val="ro-RO"/>
        </w:rPr>
        <w:t>)</w:t>
      </w:r>
      <w:r w:rsidR="00B116E6">
        <w:rPr>
          <w:rStyle w:val="FootnoteReference"/>
          <w:rFonts w:ascii="Times New Roman" w:eastAsia="Calibri" w:hAnsi="Times New Roman" w:cs="Times New Roman"/>
          <w:sz w:val="24"/>
          <w:szCs w:val="24"/>
          <w:lang w:val="ro-RO"/>
        </w:rPr>
        <w:footnoteReference w:id="9"/>
      </w:r>
      <w:r w:rsidR="002B426B" w:rsidRPr="002B426B">
        <w:rPr>
          <w:rFonts w:ascii="Times New Roman" w:eastAsia="Calibri" w:hAnsi="Times New Roman" w:cs="Times New Roman"/>
          <w:sz w:val="24"/>
          <w:szCs w:val="24"/>
          <w:lang w:val="ro-RO"/>
        </w:rPr>
        <w:t>, Simon, Buchanan şi Tullock (1967</w:t>
      </w:r>
      <w:r w:rsidR="0037445F">
        <w:rPr>
          <w:rStyle w:val="FootnoteReference"/>
          <w:rFonts w:ascii="Times New Roman" w:eastAsia="Calibri" w:hAnsi="Times New Roman" w:cs="Times New Roman"/>
          <w:sz w:val="24"/>
          <w:szCs w:val="24"/>
          <w:lang w:val="ro-RO"/>
        </w:rPr>
        <w:footnoteReference w:id="10"/>
      </w:r>
      <w:r w:rsidR="002B426B" w:rsidRPr="002B426B">
        <w:rPr>
          <w:rFonts w:ascii="Times New Roman" w:eastAsia="Calibri" w:hAnsi="Times New Roman" w:cs="Times New Roman"/>
          <w:sz w:val="24"/>
          <w:szCs w:val="24"/>
          <w:lang w:val="ro-RO"/>
        </w:rPr>
        <w:t>), J.S. Coleman (1973)</w:t>
      </w:r>
      <w:r w:rsidR="00F82707">
        <w:rPr>
          <w:rStyle w:val="FootnoteReference"/>
          <w:rFonts w:ascii="Times New Roman" w:eastAsia="Calibri" w:hAnsi="Times New Roman" w:cs="Times New Roman"/>
          <w:sz w:val="24"/>
          <w:szCs w:val="24"/>
          <w:lang w:val="ro-RO"/>
        </w:rPr>
        <w:footnoteReference w:id="11"/>
      </w:r>
      <w:r w:rsidR="002B426B" w:rsidRPr="002B426B">
        <w:rPr>
          <w:rFonts w:ascii="Times New Roman" w:eastAsia="Calibri" w:hAnsi="Times New Roman" w:cs="Times New Roman"/>
          <w:sz w:val="24"/>
          <w:szCs w:val="24"/>
          <w:lang w:val="ro-RO"/>
        </w:rPr>
        <w:t>, Turner (1991)</w:t>
      </w:r>
      <w:r w:rsidR="00C80E7A">
        <w:rPr>
          <w:rStyle w:val="FootnoteReference"/>
          <w:rFonts w:ascii="Times New Roman" w:eastAsia="Calibri" w:hAnsi="Times New Roman" w:cs="Times New Roman"/>
          <w:sz w:val="24"/>
          <w:szCs w:val="24"/>
          <w:lang w:val="ro-RO"/>
        </w:rPr>
        <w:footnoteReference w:id="12"/>
      </w:r>
      <w:r w:rsidR="002B426B" w:rsidRPr="002B426B">
        <w:rPr>
          <w:rFonts w:ascii="Times New Roman" w:eastAsia="Calibri" w:hAnsi="Times New Roman" w:cs="Times New Roman"/>
          <w:sz w:val="24"/>
          <w:szCs w:val="24"/>
          <w:lang w:val="ro-RO"/>
        </w:rPr>
        <w:t xml:space="preserve">, etc. În ceea ce priveşte </w:t>
      </w:r>
      <w:r w:rsidR="002B426B" w:rsidRPr="0008622E">
        <w:rPr>
          <w:rFonts w:ascii="Times New Roman" w:eastAsia="Calibri" w:hAnsi="Times New Roman" w:cs="Times New Roman"/>
          <w:sz w:val="24"/>
          <w:szCs w:val="24"/>
          <w:lang w:val="ro-RO"/>
        </w:rPr>
        <w:t>actorii implicaţi</w:t>
      </w:r>
      <w:r w:rsidR="002B426B" w:rsidRPr="002B426B">
        <w:rPr>
          <w:rFonts w:ascii="Times New Roman" w:eastAsia="Calibri" w:hAnsi="Times New Roman" w:cs="Times New Roman"/>
          <w:sz w:val="24"/>
          <w:szCs w:val="24"/>
          <w:lang w:val="ro-RO"/>
        </w:rPr>
        <w:t>, acest model susţine în princi</w:t>
      </w:r>
      <w:r w:rsidR="00030528">
        <w:rPr>
          <w:rFonts w:ascii="Times New Roman" w:eastAsia="Calibri" w:hAnsi="Times New Roman" w:cs="Times New Roman"/>
          <w:sz w:val="24"/>
          <w:szCs w:val="24"/>
          <w:lang w:val="ro-RO"/>
        </w:rPr>
        <w:t>p</w:t>
      </w:r>
      <w:r w:rsidR="002B426B" w:rsidRPr="002B426B">
        <w:rPr>
          <w:rFonts w:ascii="Times New Roman" w:eastAsia="Calibri" w:hAnsi="Times New Roman" w:cs="Times New Roman"/>
          <w:sz w:val="24"/>
          <w:szCs w:val="24"/>
          <w:lang w:val="ro-RO"/>
        </w:rPr>
        <w:t>al individul la nivelul organizaţiilor administrative, individul ca şi entitate de sine stătătoare, cu un grad susţinut de libertate, dar şi ca parte a organizaţiei.</w:t>
      </w:r>
    </w:p>
    <w:p w:rsidR="002B426B" w:rsidRDefault="0008196F" w:rsidP="0008196F">
      <w:pPr>
        <w:pStyle w:val="ListParagraph"/>
        <w:spacing w:line="360" w:lineRule="auto"/>
        <w:ind w:left="0"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Toate aceste caracteristici vom încerca să le avem în vedere la nivelul acestei analize în baza evoluției lor în timp.</w:t>
      </w:r>
    </w:p>
    <w:p w:rsidR="0008196F" w:rsidRPr="0008196F" w:rsidRDefault="0008196F" w:rsidP="0008196F">
      <w:pPr>
        <w:pStyle w:val="ListParagraph"/>
        <w:spacing w:line="360" w:lineRule="auto"/>
        <w:ind w:left="0" w:firstLine="720"/>
        <w:jc w:val="both"/>
        <w:rPr>
          <w:rFonts w:ascii="Times New Roman" w:eastAsia="Calibri" w:hAnsi="Times New Roman" w:cs="Times New Roman"/>
          <w:sz w:val="24"/>
          <w:szCs w:val="24"/>
        </w:rPr>
      </w:pPr>
    </w:p>
    <w:p w:rsidR="00694778" w:rsidRDefault="00694778" w:rsidP="00694778">
      <w:pPr>
        <w:pStyle w:val="ListParagraph"/>
        <w:numPr>
          <w:ilvl w:val="0"/>
          <w:numId w:val="1"/>
        </w:numPr>
        <w:rPr>
          <w:rFonts w:ascii="Times New Roman" w:hAnsi="Times New Roman" w:cs="Times New Roman"/>
          <w:b/>
          <w:sz w:val="24"/>
          <w:szCs w:val="24"/>
          <w:lang w:val="ro-RO"/>
        </w:rPr>
      </w:pPr>
      <w:r w:rsidRPr="00971E14">
        <w:rPr>
          <w:rFonts w:ascii="Times New Roman" w:hAnsi="Times New Roman" w:cs="Times New Roman"/>
          <w:b/>
          <w:sz w:val="24"/>
          <w:szCs w:val="24"/>
          <w:lang w:val="ro-RO"/>
        </w:rPr>
        <w:t>Metologie și eșantion</w:t>
      </w:r>
    </w:p>
    <w:p w:rsidR="00694778" w:rsidRDefault="00694778" w:rsidP="00694778">
      <w:pPr>
        <w:spacing w:after="0" w:line="360" w:lineRule="auto"/>
        <w:ind w:firstLine="720"/>
        <w:jc w:val="both"/>
        <w:rPr>
          <w:rFonts w:ascii="Times New Roman" w:hAnsi="Times New Roman" w:cs="Times New Roman"/>
          <w:sz w:val="24"/>
          <w:szCs w:val="24"/>
          <w:lang w:val="ro-RO"/>
        </w:rPr>
      </w:pPr>
      <w:r w:rsidRPr="00971E14">
        <w:rPr>
          <w:rFonts w:ascii="Times New Roman" w:hAnsi="Times New Roman" w:cs="Times New Roman"/>
          <w:b/>
          <w:sz w:val="24"/>
          <w:szCs w:val="24"/>
          <w:lang w:val="ro-RO"/>
        </w:rPr>
        <w:t>Ipoteza generală de lucru.</w:t>
      </w:r>
      <w:r w:rsidRPr="00971E14">
        <w:rPr>
          <w:rFonts w:ascii="Times New Roman" w:hAnsi="Times New Roman" w:cs="Times New Roman"/>
          <w:sz w:val="24"/>
          <w:szCs w:val="24"/>
          <w:lang w:val="ro-RO"/>
        </w:rPr>
        <w:t xml:space="preserve"> Analiza de faţă îşi propune să </w:t>
      </w:r>
      <w:r>
        <w:rPr>
          <w:rFonts w:ascii="Times New Roman" w:hAnsi="Times New Roman" w:cs="Times New Roman"/>
          <w:sz w:val="24"/>
          <w:szCs w:val="24"/>
          <w:lang w:val="ro-RO"/>
        </w:rPr>
        <w:t xml:space="preserve">operaționalizeze </w:t>
      </w:r>
      <w:r w:rsidRPr="00971E14">
        <w:rPr>
          <w:rFonts w:ascii="Times New Roman" w:hAnsi="Times New Roman" w:cs="Times New Roman"/>
          <w:sz w:val="24"/>
          <w:szCs w:val="24"/>
          <w:lang w:val="ro-RO"/>
        </w:rPr>
        <w:t>teoria actorului raţional (Anthony Downs),</w:t>
      </w:r>
      <w:r>
        <w:rPr>
          <w:rFonts w:ascii="Times New Roman" w:hAnsi="Times New Roman" w:cs="Times New Roman"/>
          <w:sz w:val="24"/>
          <w:szCs w:val="24"/>
          <w:lang w:val="ro-RO"/>
        </w:rPr>
        <w:t xml:space="preserve"> din perspectiva actorilor implicați în procesul decizional, având la bază rezultatele a două cercetări din anul 2013</w:t>
      </w:r>
      <w:r>
        <w:rPr>
          <w:rStyle w:val="FootnoteReference"/>
          <w:rFonts w:ascii="Times New Roman" w:hAnsi="Times New Roman" w:cs="Times New Roman"/>
          <w:sz w:val="24"/>
          <w:szCs w:val="24"/>
          <w:lang w:val="ro-RO"/>
        </w:rPr>
        <w:footnoteReference w:id="13"/>
      </w:r>
      <w:r>
        <w:rPr>
          <w:rFonts w:ascii="Times New Roman" w:hAnsi="Times New Roman" w:cs="Times New Roman"/>
          <w:sz w:val="24"/>
          <w:szCs w:val="24"/>
          <w:lang w:val="ro-RO"/>
        </w:rPr>
        <w:t>, reluată în anul 2016</w:t>
      </w:r>
      <w:r>
        <w:rPr>
          <w:rStyle w:val="FootnoteReference"/>
          <w:rFonts w:ascii="Times New Roman" w:hAnsi="Times New Roman" w:cs="Times New Roman"/>
          <w:sz w:val="24"/>
          <w:szCs w:val="24"/>
          <w:lang w:val="ro-RO"/>
        </w:rPr>
        <w:footnoteReference w:id="14"/>
      </w:r>
      <w:r>
        <w:rPr>
          <w:rFonts w:ascii="Times New Roman" w:hAnsi="Times New Roman" w:cs="Times New Roman"/>
          <w:sz w:val="24"/>
          <w:szCs w:val="24"/>
          <w:lang w:val="ro-RO"/>
        </w:rPr>
        <w:t xml:space="preserve"> la nivelul Primăriei Municipiului </w:t>
      </w:r>
      <w:r w:rsidR="007A326F">
        <w:rPr>
          <w:rFonts w:ascii="Times New Roman" w:hAnsi="Times New Roman" w:cs="Times New Roman"/>
          <w:sz w:val="24"/>
          <w:szCs w:val="24"/>
          <w:lang w:val="ro-RO"/>
        </w:rPr>
        <w:t>Vaslu</w:t>
      </w:r>
      <w:r>
        <w:rPr>
          <w:rFonts w:ascii="Times New Roman" w:hAnsi="Times New Roman" w:cs="Times New Roman"/>
          <w:sz w:val="24"/>
          <w:szCs w:val="24"/>
          <w:lang w:val="ro-RO"/>
        </w:rPr>
        <w:t>i. Analiza de față și propune să identifice dinamica actorilor implicați în procesul decizional, pornind de la această analiză temporală.</w:t>
      </w:r>
    </w:p>
    <w:p w:rsidR="00694778" w:rsidRPr="00971E14" w:rsidRDefault="00694778" w:rsidP="00694778">
      <w:pPr>
        <w:spacing w:after="0" w:line="360" w:lineRule="auto"/>
        <w:ind w:firstLine="720"/>
        <w:jc w:val="both"/>
        <w:rPr>
          <w:rFonts w:ascii="Times New Roman" w:hAnsi="Times New Roman" w:cs="Times New Roman"/>
          <w:sz w:val="24"/>
          <w:szCs w:val="24"/>
          <w:lang w:val="ro-RO"/>
        </w:rPr>
      </w:pPr>
      <w:r w:rsidRPr="00971E14">
        <w:rPr>
          <w:rFonts w:ascii="Times New Roman" w:hAnsi="Times New Roman" w:cs="Times New Roman"/>
          <w:sz w:val="24"/>
          <w:szCs w:val="24"/>
          <w:lang w:val="ro-RO"/>
        </w:rPr>
        <w:t>Eşantionul cercetării este format din</w:t>
      </w:r>
      <w:r w:rsidR="007A326F">
        <w:rPr>
          <w:rFonts w:ascii="Times New Roman" w:hAnsi="Times New Roman" w:cs="Times New Roman"/>
          <w:sz w:val="24"/>
          <w:szCs w:val="24"/>
          <w:lang w:val="ro-RO"/>
        </w:rPr>
        <w:t xml:space="preserve"> 212</w:t>
      </w:r>
      <w:r w:rsidRPr="00971E14">
        <w:rPr>
          <w:rFonts w:ascii="Times New Roman" w:hAnsi="Times New Roman" w:cs="Times New Roman"/>
          <w:sz w:val="24"/>
          <w:szCs w:val="24"/>
          <w:lang w:val="ro-RO"/>
        </w:rPr>
        <w:t xml:space="preserve"> de respondenţi, angajaţi ai </w:t>
      </w:r>
      <w:r>
        <w:rPr>
          <w:rFonts w:ascii="Times New Roman" w:hAnsi="Times New Roman" w:cs="Times New Roman"/>
          <w:sz w:val="24"/>
          <w:szCs w:val="24"/>
          <w:lang w:val="ro-RO"/>
        </w:rPr>
        <w:t xml:space="preserve">Municipiului </w:t>
      </w:r>
      <w:r w:rsidR="007A326F">
        <w:rPr>
          <w:rFonts w:ascii="Times New Roman" w:hAnsi="Times New Roman" w:cs="Times New Roman"/>
          <w:sz w:val="24"/>
          <w:szCs w:val="24"/>
          <w:lang w:val="ro-RO"/>
        </w:rPr>
        <w:t>Vaslui</w:t>
      </w:r>
      <w:r w:rsidRPr="00971E14">
        <w:rPr>
          <w:rFonts w:ascii="Times New Roman" w:hAnsi="Times New Roman" w:cs="Times New Roman"/>
          <w:sz w:val="24"/>
          <w:szCs w:val="24"/>
          <w:lang w:val="ro-RO"/>
        </w:rPr>
        <w:t xml:space="preserve">, însemnând circa o medie de circa </w:t>
      </w:r>
      <w:r w:rsidR="00B436E1">
        <w:rPr>
          <w:rFonts w:ascii="Times New Roman" w:hAnsi="Times New Roman" w:cs="Times New Roman"/>
          <w:sz w:val="24"/>
          <w:szCs w:val="24"/>
          <w:lang w:val="ro-RO"/>
        </w:rPr>
        <w:t>26,04</w:t>
      </w:r>
      <w:r w:rsidRPr="00971E14">
        <w:rPr>
          <w:rFonts w:ascii="Times New Roman" w:hAnsi="Times New Roman" w:cs="Times New Roman"/>
          <w:sz w:val="24"/>
          <w:szCs w:val="24"/>
          <w:lang w:val="ro-RO"/>
        </w:rPr>
        <w:t>% din populaţia totală de funcţionari pub</w:t>
      </w:r>
      <w:r>
        <w:rPr>
          <w:rFonts w:ascii="Times New Roman" w:hAnsi="Times New Roman" w:cs="Times New Roman"/>
          <w:sz w:val="24"/>
          <w:szCs w:val="24"/>
          <w:lang w:val="ro-RO"/>
        </w:rPr>
        <w:t>lici din acestă instituţie</w:t>
      </w:r>
      <w:r w:rsidR="007A326F">
        <w:rPr>
          <w:rFonts w:ascii="Times New Roman" w:hAnsi="Times New Roman" w:cs="Times New Roman"/>
          <w:sz w:val="24"/>
          <w:szCs w:val="24"/>
          <w:lang w:val="ro-RO"/>
        </w:rPr>
        <w:t xml:space="preserve"> (814</w:t>
      </w:r>
      <w:r w:rsidRPr="00971E14">
        <w:rPr>
          <w:rFonts w:ascii="Times New Roman" w:hAnsi="Times New Roman" w:cs="Times New Roman"/>
          <w:sz w:val="24"/>
          <w:szCs w:val="24"/>
          <w:lang w:val="ro-RO"/>
        </w:rPr>
        <w:t>). Tehnica de construcţie a eşantionului a fost cea a „bulgărelui de zăpadă”</w:t>
      </w:r>
      <w:r>
        <w:rPr>
          <w:rStyle w:val="FootnoteReference"/>
          <w:rFonts w:ascii="Times New Roman" w:hAnsi="Times New Roman" w:cs="Times New Roman"/>
          <w:sz w:val="24"/>
          <w:szCs w:val="24"/>
          <w:lang w:val="ro-RO"/>
        </w:rPr>
        <w:footnoteReference w:id="15"/>
      </w:r>
      <w:r>
        <w:rPr>
          <w:rFonts w:ascii="Times New Roman" w:hAnsi="Times New Roman" w:cs="Times New Roman"/>
          <w:sz w:val="24"/>
          <w:szCs w:val="24"/>
          <w:lang w:val="ro-RO"/>
        </w:rPr>
        <w:t xml:space="preserve"> (vezi Tabelul nr.1 )</w:t>
      </w:r>
      <w:r w:rsidRPr="00971E14">
        <w:rPr>
          <w:rFonts w:ascii="Times New Roman" w:hAnsi="Times New Roman" w:cs="Times New Roman"/>
          <w:sz w:val="24"/>
          <w:szCs w:val="24"/>
          <w:lang w:val="ro-RO"/>
        </w:rPr>
        <w:t>.</w:t>
      </w:r>
    </w:p>
    <w:p w:rsidR="00694778" w:rsidRPr="00971E14" w:rsidRDefault="00694778" w:rsidP="00694778">
      <w:pPr>
        <w:spacing w:after="0" w:line="360" w:lineRule="auto"/>
        <w:jc w:val="center"/>
        <w:rPr>
          <w:rFonts w:ascii="Times New Roman" w:hAnsi="Times New Roman" w:cs="Times New Roman"/>
          <w:sz w:val="24"/>
          <w:szCs w:val="24"/>
          <w:lang w:val="ro-RO"/>
        </w:rPr>
      </w:pPr>
      <w:r w:rsidRPr="00971E14">
        <w:rPr>
          <w:rFonts w:ascii="Times New Roman" w:hAnsi="Times New Roman" w:cs="Times New Roman"/>
          <w:b/>
          <w:sz w:val="24"/>
          <w:szCs w:val="24"/>
          <w:lang w:val="ro-RO"/>
        </w:rPr>
        <w:t>Tabelul nr. 1</w:t>
      </w:r>
    </w:p>
    <w:tbl>
      <w:tblPr>
        <w:tblW w:w="9004" w:type="dxa"/>
        <w:jc w:val="center"/>
        <w:tblInd w:w="-5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163"/>
        <w:gridCol w:w="3341"/>
        <w:gridCol w:w="3500"/>
      </w:tblGrid>
      <w:tr w:rsidR="00694778" w:rsidRPr="000D5F79" w:rsidTr="00F61098">
        <w:trPr>
          <w:trHeight w:val="510"/>
          <w:jc w:val="center"/>
        </w:trPr>
        <w:tc>
          <w:tcPr>
            <w:tcW w:w="2163" w:type="dxa"/>
          </w:tcPr>
          <w:p w:rsidR="00694778" w:rsidRPr="000D5F79" w:rsidRDefault="00694778" w:rsidP="00F61098">
            <w:pPr>
              <w:spacing w:after="0" w:line="360" w:lineRule="auto"/>
              <w:jc w:val="both"/>
              <w:rPr>
                <w:rFonts w:ascii="Times New Roman" w:hAnsi="Times New Roman" w:cs="Times New Roman"/>
                <w:lang w:val="it-IT"/>
              </w:rPr>
            </w:pPr>
            <w:r w:rsidRPr="000D5F79">
              <w:rPr>
                <w:rFonts w:ascii="Times New Roman" w:hAnsi="Times New Roman" w:cs="Times New Roman"/>
                <w:lang w:val="it-IT"/>
              </w:rPr>
              <w:t>1.Oraşul</w:t>
            </w:r>
          </w:p>
          <w:p w:rsidR="00694778" w:rsidRPr="000D5F79" w:rsidRDefault="00694778" w:rsidP="00F61098">
            <w:pPr>
              <w:spacing w:after="0" w:line="360" w:lineRule="auto"/>
              <w:jc w:val="both"/>
              <w:rPr>
                <w:rFonts w:ascii="Times New Roman" w:hAnsi="Times New Roman" w:cs="Times New Roman"/>
                <w:lang w:val="ro-RO"/>
              </w:rPr>
            </w:pPr>
          </w:p>
        </w:tc>
        <w:tc>
          <w:tcPr>
            <w:tcW w:w="3341" w:type="dxa"/>
          </w:tcPr>
          <w:p w:rsidR="00694778" w:rsidRPr="000D5F79" w:rsidRDefault="00694778" w:rsidP="00F61098">
            <w:pPr>
              <w:spacing w:after="0" w:line="360" w:lineRule="auto"/>
              <w:jc w:val="both"/>
              <w:rPr>
                <w:rFonts w:ascii="Times New Roman" w:hAnsi="Times New Roman" w:cs="Times New Roman"/>
                <w:lang w:val="it-IT"/>
              </w:rPr>
            </w:pPr>
            <w:r w:rsidRPr="000D5F79">
              <w:rPr>
                <w:rFonts w:ascii="Times New Roman" w:hAnsi="Times New Roman" w:cs="Times New Roman"/>
                <w:lang w:val="it-IT"/>
              </w:rPr>
              <w:lastRenderedPageBreak/>
              <w:t>2.Număr angajaţi primărie</w:t>
            </w:r>
          </w:p>
        </w:tc>
        <w:tc>
          <w:tcPr>
            <w:tcW w:w="3500" w:type="dxa"/>
          </w:tcPr>
          <w:p w:rsidR="00694778" w:rsidRPr="000D5F79" w:rsidRDefault="00694778" w:rsidP="00F61098">
            <w:pPr>
              <w:spacing w:after="0" w:line="360" w:lineRule="auto"/>
              <w:jc w:val="both"/>
              <w:rPr>
                <w:rFonts w:ascii="Times New Roman" w:hAnsi="Times New Roman" w:cs="Times New Roman"/>
                <w:lang w:val="it-IT"/>
              </w:rPr>
            </w:pPr>
            <w:r w:rsidRPr="000D5F79">
              <w:rPr>
                <w:rFonts w:ascii="Times New Roman" w:hAnsi="Times New Roman" w:cs="Times New Roman"/>
                <w:lang w:val="it-IT"/>
              </w:rPr>
              <w:t>3.Eşantion realizat</w:t>
            </w:r>
          </w:p>
        </w:tc>
      </w:tr>
      <w:tr w:rsidR="007A326F" w:rsidRPr="000D5F79" w:rsidTr="00F61098">
        <w:trPr>
          <w:jc w:val="center"/>
        </w:trPr>
        <w:tc>
          <w:tcPr>
            <w:tcW w:w="2163" w:type="dxa"/>
          </w:tcPr>
          <w:p w:rsidR="007A326F" w:rsidRPr="000D5F79" w:rsidRDefault="007A326F" w:rsidP="00F61098">
            <w:pPr>
              <w:spacing w:after="0" w:line="360" w:lineRule="auto"/>
              <w:jc w:val="both"/>
              <w:rPr>
                <w:rFonts w:ascii="Times New Roman" w:hAnsi="Times New Roman" w:cs="Times New Roman"/>
              </w:rPr>
            </w:pPr>
            <w:r>
              <w:rPr>
                <w:rFonts w:ascii="Times New Roman" w:hAnsi="Times New Roman" w:cs="Times New Roman"/>
              </w:rPr>
              <w:lastRenderedPageBreak/>
              <w:t>Vaslui</w:t>
            </w:r>
            <w:r w:rsidRPr="000D5F79">
              <w:rPr>
                <w:rFonts w:ascii="Times New Roman" w:hAnsi="Times New Roman" w:cs="Times New Roman"/>
              </w:rPr>
              <w:t xml:space="preserve"> 2013</w:t>
            </w:r>
          </w:p>
        </w:tc>
        <w:tc>
          <w:tcPr>
            <w:tcW w:w="3341" w:type="dxa"/>
          </w:tcPr>
          <w:p w:rsidR="007A326F" w:rsidRPr="007A326F" w:rsidRDefault="007A326F" w:rsidP="00F61098">
            <w:pPr>
              <w:rPr>
                <w:rFonts w:ascii="Times New Roman" w:hAnsi="Times New Roman" w:cs="Times New Roman"/>
              </w:rPr>
            </w:pPr>
            <w:r w:rsidRPr="007A326F">
              <w:rPr>
                <w:rFonts w:ascii="Times New Roman" w:hAnsi="Times New Roman" w:cs="Times New Roman"/>
              </w:rPr>
              <w:t xml:space="preserve"> 407</w:t>
            </w:r>
            <w:r w:rsidRPr="007A326F">
              <w:rPr>
                <w:rStyle w:val="FootnoteReference"/>
                <w:rFonts w:ascii="Times New Roman" w:hAnsi="Times New Roman" w:cs="Times New Roman"/>
              </w:rPr>
              <w:footnoteReference w:id="16"/>
            </w:r>
          </w:p>
        </w:tc>
        <w:tc>
          <w:tcPr>
            <w:tcW w:w="3500" w:type="dxa"/>
          </w:tcPr>
          <w:p w:rsidR="007A326F" w:rsidRPr="007A326F" w:rsidRDefault="007A326F" w:rsidP="00F61098">
            <w:pPr>
              <w:rPr>
                <w:rFonts w:ascii="Times New Roman" w:hAnsi="Times New Roman" w:cs="Times New Roman"/>
              </w:rPr>
            </w:pPr>
            <w:r w:rsidRPr="007A326F">
              <w:rPr>
                <w:rFonts w:ascii="Times New Roman" w:hAnsi="Times New Roman" w:cs="Times New Roman"/>
              </w:rPr>
              <w:t xml:space="preserve">  106</w:t>
            </w:r>
          </w:p>
        </w:tc>
      </w:tr>
      <w:tr w:rsidR="00694778" w:rsidRPr="000D5F79" w:rsidTr="00F61098">
        <w:trPr>
          <w:jc w:val="center"/>
        </w:trPr>
        <w:tc>
          <w:tcPr>
            <w:tcW w:w="2163" w:type="dxa"/>
          </w:tcPr>
          <w:p w:rsidR="00694778" w:rsidRPr="000D5F79" w:rsidRDefault="00571FAA" w:rsidP="00F61098">
            <w:pPr>
              <w:spacing w:after="0" w:line="360" w:lineRule="auto"/>
              <w:jc w:val="both"/>
              <w:rPr>
                <w:rFonts w:ascii="Times New Roman" w:hAnsi="Times New Roman" w:cs="Times New Roman"/>
              </w:rPr>
            </w:pPr>
            <w:r>
              <w:rPr>
                <w:rFonts w:ascii="Times New Roman" w:hAnsi="Times New Roman" w:cs="Times New Roman"/>
              </w:rPr>
              <w:t xml:space="preserve">Vaslui </w:t>
            </w:r>
            <w:r w:rsidR="00694778" w:rsidRPr="000D5F79">
              <w:rPr>
                <w:rFonts w:ascii="Times New Roman" w:hAnsi="Times New Roman" w:cs="Times New Roman"/>
              </w:rPr>
              <w:t>2016</w:t>
            </w:r>
          </w:p>
        </w:tc>
        <w:tc>
          <w:tcPr>
            <w:tcW w:w="3341" w:type="dxa"/>
          </w:tcPr>
          <w:p w:rsidR="00694778" w:rsidRPr="000D5F79" w:rsidRDefault="00694778" w:rsidP="007A326F">
            <w:pPr>
              <w:spacing w:after="0" w:line="360" w:lineRule="auto"/>
              <w:jc w:val="both"/>
              <w:rPr>
                <w:rFonts w:ascii="Times New Roman" w:hAnsi="Times New Roman" w:cs="Times New Roman"/>
              </w:rPr>
            </w:pPr>
            <w:r w:rsidRPr="000D5F79">
              <w:rPr>
                <w:rFonts w:ascii="Times New Roman" w:hAnsi="Times New Roman" w:cs="Times New Roman"/>
              </w:rPr>
              <w:t xml:space="preserve"> </w:t>
            </w:r>
            <w:r w:rsidR="007A326F">
              <w:rPr>
                <w:rFonts w:ascii="Times New Roman" w:hAnsi="Times New Roman" w:cs="Times New Roman"/>
              </w:rPr>
              <w:t>407</w:t>
            </w:r>
          </w:p>
        </w:tc>
        <w:tc>
          <w:tcPr>
            <w:tcW w:w="3500" w:type="dxa"/>
          </w:tcPr>
          <w:p w:rsidR="00694778" w:rsidRPr="000D5F79" w:rsidRDefault="00694778" w:rsidP="00F61098">
            <w:pPr>
              <w:spacing w:after="0" w:line="360" w:lineRule="auto"/>
              <w:jc w:val="both"/>
              <w:rPr>
                <w:rFonts w:ascii="Times New Roman" w:hAnsi="Times New Roman" w:cs="Times New Roman"/>
              </w:rPr>
            </w:pPr>
            <w:r w:rsidRPr="000D5F79">
              <w:rPr>
                <w:rFonts w:ascii="Times New Roman" w:hAnsi="Times New Roman" w:cs="Times New Roman"/>
              </w:rPr>
              <w:t xml:space="preserve">  </w:t>
            </w:r>
            <w:r w:rsidR="007A326F">
              <w:rPr>
                <w:rFonts w:ascii="Times New Roman" w:hAnsi="Times New Roman" w:cs="Times New Roman"/>
              </w:rPr>
              <w:t>10</w:t>
            </w:r>
            <w:r w:rsidRPr="000D5F79">
              <w:rPr>
                <w:rFonts w:ascii="Times New Roman" w:hAnsi="Times New Roman" w:cs="Times New Roman"/>
              </w:rPr>
              <w:t>6</w:t>
            </w:r>
          </w:p>
        </w:tc>
      </w:tr>
      <w:tr w:rsidR="00694778" w:rsidRPr="000D5F79" w:rsidTr="00F61098">
        <w:trPr>
          <w:trHeight w:val="255"/>
          <w:jc w:val="center"/>
        </w:trPr>
        <w:tc>
          <w:tcPr>
            <w:tcW w:w="2163" w:type="dxa"/>
          </w:tcPr>
          <w:p w:rsidR="00694778" w:rsidRPr="000D5F79" w:rsidRDefault="00694778" w:rsidP="00F61098">
            <w:pPr>
              <w:spacing w:after="0" w:line="360" w:lineRule="auto"/>
              <w:jc w:val="both"/>
              <w:rPr>
                <w:rFonts w:ascii="Times New Roman" w:hAnsi="Times New Roman" w:cs="Times New Roman"/>
                <w:i/>
                <w:lang w:val="it-IT"/>
              </w:rPr>
            </w:pPr>
          </w:p>
        </w:tc>
        <w:tc>
          <w:tcPr>
            <w:tcW w:w="3341" w:type="dxa"/>
          </w:tcPr>
          <w:p w:rsidR="00694778" w:rsidRPr="000D5F79" w:rsidRDefault="00694778" w:rsidP="00B436E1">
            <w:pPr>
              <w:spacing w:after="0" w:line="360" w:lineRule="auto"/>
              <w:jc w:val="both"/>
              <w:rPr>
                <w:rFonts w:ascii="Times New Roman" w:hAnsi="Times New Roman" w:cs="Times New Roman"/>
                <w:lang w:val="it-IT"/>
              </w:rPr>
            </w:pPr>
            <w:r w:rsidRPr="000D5F79">
              <w:rPr>
                <w:rFonts w:ascii="Times New Roman" w:hAnsi="Times New Roman" w:cs="Times New Roman"/>
                <w:lang w:val="it-IT"/>
              </w:rPr>
              <w:t xml:space="preserve">T: </w:t>
            </w:r>
            <w:r w:rsidR="00B436E1">
              <w:rPr>
                <w:rFonts w:ascii="Times New Roman" w:hAnsi="Times New Roman" w:cs="Times New Roman"/>
                <w:lang w:val="it-IT"/>
              </w:rPr>
              <w:t>814</w:t>
            </w:r>
          </w:p>
        </w:tc>
        <w:tc>
          <w:tcPr>
            <w:tcW w:w="3500" w:type="dxa"/>
          </w:tcPr>
          <w:p w:rsidR="00694778" w:rsidRPr="000D5F79" w:rsidRDefault="00694778" w:rsidP="00F61098">
            <w:pPr>
              <w:spacing w:after="0" w:line="360" w:lineRule="auto"/>
              <w:jc w:val="both"/>
              <w:rPr>
                <w:rFonts w:ascii="Times New Roman" w:hAnsi="Times New Roman" w:cs="Times New Roman"/>
                <w:lang w:val="it-IT"/>
              </w:rPr>
            </w:pPr>
            <w:r w:rsidRPr="000D5F79">
              <w:rPr>
                <w:rFonts w:ascii="Times New Roman" w:hAnsi="Times New Roman" w:cs="Times New Roman"/>
                <w:lang w:val="it-IT"/>
              </w:rPr>
              <w:t xml:space="preserve"> E: </w:t>
            </w:r>
            <w:r w:rsidR="00B436E1">
              <w:rPr>
                <w:rFonts w:ascii="Times New Roman" w:hAnsi="Times New Roman" w:cs="Times New Roman"/>
                <w:lang w:val="it-IT"/>
              </w:rPr>
              <w:t>21</w:t>
            </w:r>
            <w:r w:rsidRPr="000D5F79">
              <w:rPr>
                <w:rFonts w:ascii="Times New Roman" w:hAnsi="Times New Roman" w:cs="Times New Roman"/>
                <w:lang w:val="it-IT"/>
              </w:rPr>
              <w:t>2</w:t>
            </w:r>
          </w:p>
        </w:tc>
      </w:tr>
    </w:tbl>
    <w:p w:rsidR="00694778" w:rsidRPr="00971E14" w:rsidRDefault="00694778" w:rsidP="00694778">
      <w:pPr>
        <w:spacing w:after="0" w:line="360" w:lineRule="auto"/>
        <w:ind w:firstLine="900"/>
        <w:jc w:val="both"/>
        <w:rPr>
          <w:rFonts w:ascii="Times New Roman" w:hAnsi="Times New Roman" w:cs="Times New Roman"/>
          <w:sz w:val="24"/>
          <w:szCs w:val="24"/>
          <w:lang w:val="ro-RO"/>
        </w:rPr>
      </w:pPr>
    </w:p>
    <w:p w:rsidR="00694778" w:rsidRDefault="00694778" w:rsidP="00297076">
      <w:pPr>
        <w:spacing w:after="0" w:line="360" w:lineRule="auto"/>
        <w:ind w:firstLine="720"/>
        <w:jc w:val="both"/>
        <w:rPr>
          <w:rFonts w:ascii="Times New Roman" w:hAnsi="Times New Roman" w:cs="Times New Roman"/>
          <w:sz w:val="24"/>
          <w:szCs w:val="24"/>
          <w:lang w:val="ro-RO"/>
        </w:rPr>
      </w:pPr>
      <w:r w:rsidRPr="00971E14">
        <w:rPr>
          <w:rFonts w:ascii="Times New Roman" w:hAnsi="Times New Roman" w:cs="Times New Roman"/>
          <w:sz w:val="24"/>
          <w:szCs w:val="24"/>
          <w:lang w:val="ro-RO"/>
        </w:rPr>
        <w:t>Instrumentul folosit la nivelul acestei cercetări este chestionarul</w:t>
      </w:r>
      <w:r>
        <w:rPr>
          <w:rFonts w:ascii="Times New Roman" w:hAnsi="Times New Roman" w:cs="Times New Roman"/>
          <w:sz w:val="24"/>
          <w:szCs w:val="24"/>
          <w:lang w:val="ro-RO"/>
        </w:rPr>
        <w:t xml:space="preserve">. </w:t>
      </w:r>
      <w:r w:rsidRPr="00971E14">
        <w:rPr>
          <w:rFonts w:ascii="Times New Roman" w:hAnsi="Times New Roman" w:cs="Times New Roman"/>
          <w:sz w:val="24"/>
          <w:szCs w:val="24"/>
          <w:lang w:val="ro-RO"/>
        </w:rPr>
        <w:t xml:space="preserve">Acesta a fost redactat pentru a satisface tehnica autoaplicării, având în cuprinsul lor atât întrebări închise cât şi întrebări deschise. </w:t>
      </w:r>
    </w:p>
    <w:p w:rsidR="00694778" w:rsidRDefault="00694778" w:rsidP="00694778">
      <w:pPr>
        <w:spacing w:after="0" w:line="360" w:lineRule="auto"/>
        <w:ind w:firstLine="900"/>
        <w:jc w:val="both"/>
        <w:rPr>
          <w:rFonts w:ascii="Times New Roman" w:hAnsi="Times New Roman" w:cs="Times New Roman"/>
          <w:sz w:val="24"/>
          <w:szCs w:val="24"/>
          <w:lang w:val="ro-RO"/>
        </w:rPr>
      </w:pPr>
    </w:p>
    <w:p w:rsidR="00837FEC" w:rsidRDefault="00297076" w:rsidP="009B4D94">
      <w:pPr>
        <w:pStyle w:val="ListParagraph"/>
        <w:numPr>
          <w:ilvl w:val="0"/>
          <w:numId w:val="1"/>
        </w:numPr>
        <w:spacing w:line="360" w:lineRule="auto"/>
        <w:ind w:left="900" w:hanging="180"/>
        <w:rPr>
          <w:rFonts w:ascii="Times New Roman" w:hAnsi="Times New Roman" w:cs="Times New Roman"/>
          <w:b/>
          <w:sz w:val="24"/>
          <w:szCs w:val="24"/>
        </w:rPr>
      </w:pPr>
      <w:r>
        <w:rPr>
          <w:rFonts w:ascii="Times New Roman" w:hAnsi="Times New Roman" w:cs="Times New Roman"/>
          <w:b/>
          <w:sz w:val="24"/>
          <w:szCs w:val="24"/>
        </w:rPr>
        <w:t xml:space="preserve"> </w:t>
      </w:r>
      <w:r w:rsidR="007E693E" w:rsidRPr="00297076">
        <w:rPr>
          <w:rFonts w:ascii="Times New Roman" w:hAnsi="Times New Roman" w:cs="Times New Roman"/>
          <w:b/>
          <w:sz w:val="24"/>
          <w:szCs w:val="24"/>
        </w:rPr>
        <w:t>Rezultate</w:t>
      </w:r>
    </w:p>
    <w:p w:rsidR="00297076" w:rsidRDefault="009B4D94" w:rsidP="009B4D94">
      <w:pPr>
        <w:pStyle w:val="ListParagraph"/>
        <w:tabs>
          <w:tab w:val="left" w:pos="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Pentru a identifica care sunt actorii care se implică la nivel instituțional, în 2013 – 19,2% dintre respondenți considera</w:t>
      </w:r>
      <w:r w:rsidR="00030528">
        <w:rPr>
          <w:rFonts w:ascii="Times New Roman" w:hAnsi="Times New Roman" w:cs="Times New Roman"/>
          <w:sz w:val="24"/>
          <w:szCs w:val="24"/>
        </w:rPr>
        <w:t>u</w:t>
      </w:r>
      <w:r>
        <w:rPr>
          <w:rFonts w:ascii="Times New Roman" w:hAnsi="Times New Roman" w:cs="Times New Roman"/>
          <w:sz w:val="24"/>
          <w:szCs w:val="24"/>
        </w:rPr>
        <w:t xml:space="preserve"> că sunt indivizii în mod singular sau anumite grupuri prestabilite, pentru ca procentajul să scadă la 12,9%; în 2013 – 13,7% susțineau că indivizii în mod singular, dar și anumtie grupuri care pot fi implicate pe parcurs, pentru ca procentajul să scadă în 2016 la 8,9%; în 2013 – 67,1% susțineau că instituția în ansamblu, pentru ca în 2016 să crească la 78,2% ( vezi Figura 1).</w:t>
      </w:r>
    </w:p>
    <w:p w:rsidR="009B4D94" w:rsidRDefault="009B4D94" w:rsidP="009B4D94">
      <w:pPr>
        <w:pStyle w:val="ListParagraph"/>
        <w:tabs>
          <w:tab w:val="left" w:pos="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Dacă pentru primii doi itemi ai vari</w:t>
      </w:r>
      <w:r w:rsidR="00030528">
        <w:rPr>
          <w:rFonts w:ascii="Times New Roman" w:hAnsi="Times New Roman" w:cs="Times New Roman"/>
          <w:sz w:val="24"/>
          <w:szCs w:val="24"/>
        </w:rPr>
        <w:t>a</w:t>
      </w:r>
      <w:r>
        <w:rPr>
          <w:rFonts w:ascii="Times New Roman" w:hAnsi="Times New Roman" w:cs="Times New Roman"/>
          <w:sz w:val="24"/>
          <w:szCs w:val="24"/>
        </w:rPr>
        <w:t>bilei 1 indicii sunt descresători</w:t>
      </w:r>
      <w:r w:rsidR="00030528">
        <w:rPr>
          <w:rFonts w:ascii="Times New Roman" w:hAnsi="Times New Roman" w:cs="Times New Roman"/>
          <w:sz w:val="24"/>
          <w:szCs w:val="24"/>
        </w:rPr>
        <w:t>,</w:t>
      </w:r>
      <w:r>
        <w:rPr>
          <w:rFonts w:ascii="Times New Roman" w:hAnsi="Times New Roman" w:cs="Times New Roman"/>
          <w:sz w:val="24"/>
          <w:szCs w:val="24"/>
        </w:rPr>
        <w:t xml:space="preserve"> o dată cu trecerea timpului, cel de-al treilea crește în 2016 cu 11,1%. Altfel spus, se accentuează rolul implicării instit</w:t>
      </w:r>
      <w:r w:rsidR="00030528">
        <w:rPr>
          <w:rFonts w:ascii="Times New Roman" w:hAnsi="Times New Roman" w:cs="Times New Roman"/>
          <w:sz w:val="24"/>
          <w:szCs w:val="24"/>
        </w:rPr>
        <w:t>uției în ansamblu la nivel deciz</w:t>
      </w:r>
      <w:r>
        <w:rPr>
          <w:rFonts w:ascii="Times New Roman" w:hAnsi="Times New Roman" w:cs="Times New Roman"/>
          <w:sz w:val="24"/>
          <w:szCs w:val="24"/>
        </w:rPr>
        <w:t>ional, în raport cu cel individual. Nu se exlude nici aportul actorilor singulari la nivel administrativ, dar se pare că în sine</w:t>
      </w:r>
      <w:r w:rsidR="00030528">
        <w:rPr>
          <w:rFonts w:ascii="Times New Roman" w:hAnsi="Times New Roman" w:cs="Times New Roman"/>
          <w:sz w:val="24"/>
          <w:szCs w:val="24"/>
        </w:rPr>
        <w:t>, climatul instituțional primeaz</w:t>
      </w:r>
      <w:r>
        <w:rPr>
          <w:rFonts w:ascii="Times New Roman" w:hAnsi="Times New Roman" w:cs="Times New Roman"/>
          <w:sz w:val="24"/>
          <w:szCs w:val="24"/>
        </w:rPr>
        <w:t>ă și s-a accentuat o dată cu trecerea timpului.</w:t>
      </w:r>
    </w:p>
    <w:p w:rsidR="009B4D94" w:rsidRPr="009B4D94" w:rsidRDefault="009B4D94" w:rsidP="009B4D94">
      <w:pPr>
        <w:pStyle w:val="ListParagraph"/>
        <w:tabs>
          <w:tab w:val="left" w:pos="0"/>
        </w:tabs>
        <w:spacing w:line="360" w:lineRule="auto"/>
        <w:ind w:left="0" w:firstLine="720"/>
        <w:jc w:val="both"/>
        <w:rPr>
          <w:rFonts w:ascii="Times New Roman" w:hAnsi="Times New Roman" w:cs="Times New Roman"/>
          <w:sz w:val="24"/>
          <w:szCs w:val="24"/>
        </w:rPr>
      </w:pPr>
    </w:p>
    <w:p w:rsidR="00B462C1" w:rsidRDefault="00B462C1" w:rsidP="00B462C1">
      <w:pPr>
        <w:pStyle w:val="ListParagraph"/>
        <w:tabs>
          <w:tab w:val="left" w:pos="0"/>
        </w:tabs>
        <w:ind w:left="0"/>
        <w:rPr>
          <w:rFonts w:ascii="Times New Roman" w:hAnsi="Times New Roman" w:cs="Times New Roman"/>
          <w:b/>
          <w:sz w:val="24"/>
          <w:szCs w:val="24"/>
        </w:rPr>
      </w:pPr>
      <w:r w:rsidRPr="00B462C1">
        <w:rPr>
          <w:rFonts w:ascii="Times New Roman" w:hAnsi="Times New Roman" w:cs="Times New Roman"/>
          <w:b/>
          <w:noProof/>
          <w:sz w:val="24"/>
          <w:szCs w:val="24"/>
        </w:rPr>
        <w:lastRenderedPageBreak/>
        <w:drawing>
          <wp:inline distT="0" distB="0" distL="0" distR="0">
            <wp:extent cx="5943600" cy="231013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62C1" w:rsidRDefault="00B462C1" w:rsidP="00B462C1">
      <w:pPr>
        <w:jc w:val="center"/>
        <w:rPr>
          <w:rFonts w:ascii="Times New Roman" w:hAnsi="Times New Roman" w:cs="Times New Roman"/>
          <w:sz w:val="24"/>
          <w:szCs w:val="24"/>
        </w:rPr>
      </w:pPr>
      <w:r w:rsidRPr="00B462C1">
        <w:rPr>
          <w:rFonts w:ascii="Times New Roman" w:hAnsi="Times New Roman" w:cs="Times New Roman"/>
          <w:sz w:val="24"/>
          <w:szCs w:val="24"/>
        </w:rPr>
        <w:t>Figura 1</w:t>
      </w:r>
      <w:r w:rsidR="009B4D94">
        <w:rPr>
          <w:rFonts w:ascii="Times New Roman" w:hAnsi="Times New Roman" w:cs="Times New Roman"/>
          <w:sz w:val="24"/>
          <w:szCs w:val="24"/>
        </w:rPr>
        <w:t xml:space="preserve"> – variabila 1</w:t>
      </w:r>
    </w:p>
    <w:p w:rsidR="00B462C1" w:rsidRDefault="00B462C1" w:rsidP="00B462C1">
      <w:pPr>
        <w:jc w:val="center"/>
        <w:rPr>
          <w:rFonts w:ascii="Times New Roman" w:hAnsi="Times New Roman" w:cs="Times New Roman"/>
          <w:sz w:val="24"/>
          <w:szCs w:val="24"/>
        </w:rPr>
      </w:pPr>
    </w:p>
    <w:p w:rsidR="00FC1E16" w:rsidRDefault="00796131" w:rsidP="00FC1E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cazul variabilei 2, avem de a face cu o modificare a ordinii procentajelor itemilor. Dacă în 2013, ordinea descrescătoare a itemilor răspunsurilor era 3 – 1 – 2, în 2016, aceasta se inversează: devenind 1 – 3 – 2. De ce este important acest fapt, deoarece putem concluziona că în anul 2016 există cea mai mare valorizare pentru grupurile decizionale stabilite din start, dar care pot suferi modificări pe parcurs, față de cele care nu mai pot suferi nicio schimbare până la finalul procesului decizional (vezi Figura 2).</w:t>
      </w:r>
    </w:p>
    <w:p w:rsidR="00B462C1" w:rsidRDefault="00891F37" w:rsidP="00B462C1">
      <w:pPr>
        <w:jc w:val="center"/>
        <w:rPr>
          <w:rFonts w:ascii="Times New Roman" w:hAnsi="Times New Roman" w:cs="Times New Roman"/>
          <w:sz w:val="24"/>
          <w:szCs w:val="24"/>
        </w:rPr>
      </w:pPr>
      <w:r w:rsidRPr="00891F37">
        <w:rPr>
          <w:rFonts w:ascii="Times New Roman" w:hAnsi="Times New Roman" w:cs="Times New Roman"/>
          <w:noProof/>
          <w:sz w:val="24"/>
          <w:szCs w:val="24"/>
        </w:rPr>
        <w:drawing>
          <wp:inline distT="0" distB="0" distL="0" distR="0">
            <wp:extent cx="5943600" cy="28448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50B2" w:rsidRDefault="001550B2" w:rsidP="00B462C1">
      <w:pPr>
        <w:jc w:val="center"/>
        <w:rPr>
          <w:rFonts w:ascii="Times New Roman" w:hAnsi="Times New Roman" w:cs="Times New Roman"/>
          <w:sz w:val="24"/>
          <w:szCs w:val="24"/>
        </w:rPr>
      </w:pPr>
      <w:r>
        <w:rPr>
          <w:rFonts w:ascii="Times New Roman" w:hAnsi="Times New Roman" w:cs="Times New Roman"/>
          <w:sz w:val="24"/>
          <w:szCs w:val="24"/>
        </w:rPr>
        <w:t>Figura 2</w:t>
      </w:r>
      <w:r w:rsidR="009B4D94">
        <w:rPr>
          <w:rFonts w:ascii="Times New Roman" w:hAnsi="Times New Roman" w:cs="Times New Roman"/>
          <w:sz w:val="24"/>
          <w:szCs w:val="24"/>
        </w:rPr>
        <w:t xml:space="preserve"> – variabila 2</w:t>
      </w:r>
    </w:p>
    <w:p w:rsidR="001550B2" w:rsidRDefault="00796131" w:rsidP="007961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Acest fapt evidențiază un anumit grad de descentra</w:t>
      </w:r>
      <w:r w:rsidR="008C4DE1">
        <w:rPr>
          <w:rFonts w:ascii="Times New Roman" w:hAnsi="Times New Roman" w:cs="Times New Roman"/>
          <w:sz w:val="24"/>
          <w:szCs w:val="24"/>
        </w:rPr>
        <w:t>lizare la nivelul grupului deciz</w:t>
      </w:r>
      <w:r>
        <w:rPr>
          <w:rFonts w:ascii="Times New Roman" w:hAnsi="Times New Roman" w:cs="Times New Roman"/>
          <w:sz w:val="24"/>
          <w:szCs w:val="24"/>
        </w:rPr>
        <w:t>ional, față de ierarhiile stricte existente d</w:t>
      </w:r>
      <w:r w:rsidR="008C4DE1">
        <w:rPr>
          <w:rFonts w:ascii="Times New Roman" w:hAnsi="Times New Roman" w:cs="Times New Roman"/>
          <w:sz w:val="24"/>
          <w:szCs w:val="24"/>
        </w:rPr>
        <w:t>e obicei la nivelul deciziei co</w:t>
      </w:r>
      <w:r>
        <w:rPr>
          <w:rFonts w:ascii="Times New Roman" w:hAnsi="Times New Roman" w:cs="Times New Roman"/>
          <w:sz w:val="24"/>
          <w:szCs w:val="24"/>
        </w:rPr>
        <w:t>lective administrative. Este de remarcat faptul că procentajele sunt însă foarte apropiate atât pentru acest item în 2013 / 2016, cât și compar</w:t>
      </w:r>
      <w:r w:rsidR="008C4DE1">
        <w:rPr>
          <w:rFonts w:ascii="Times New Roman" w:hAnsi="Times New Roman" w:cs="Times New Roman"/>
          <w:sz w:val="24"/>
          <w:szCs w:val="24"/>
        </w:rPr>
        <w:t>ând</w:t>
      </w:r>
      <w:r>
        <w:rPr>
          <w:rFonts w:ascii="Times New Roman" w:hAnsi="Times New Roman" w:cs="Times New Roman"/>
          <w:sz w:val="24"/>
          <w:szCs w:val="24"/>
        </w:rPr>
        <w:t xml:space="preserve"> itemul 1 al varibilei cu itemul 3, care stipula sturctura strictă, a grupului</w:t>
      </w:r>
      <w:r w:rsidR="002C547E">
        <w:rPr>
          <w:rFonts w:ascii="Times New Roman" w:hAnsi="Times New Roman" w:cs="Times New Roman"/>
          <w:sz w:val="24"/>
          <w:szCs w:val="24"/>
        </w:rPr>
        <w:t xml:space="preserve"> (Figura 2)</w:t>
      </w:r>
      <w:r>
        <w:rPr>
          <w:rFonts w:ascii="Times New Roman" w:hAnsi="Times New Roman" w:cs="Times New Roman"/>
          <w:sz w:val="24"/>
          <w:szCs w:val="24"/>
        </w:rPr>
        <w:t>.</w:t>
      </w:r>
    </w:p>
    <w:p w:rsidR="00B169D2" w:rsidRDefault="00B169D2" w:rsidP="00B462C1">
      <w:pPr>
        <w:jc w:val="center"/>
        <w:rPr>
          <w:rFonts w:ascii="Times New Roman" w:hAnsi="Times New Roman" w:cs="Times New Roman"/>
          <w:sz w:val="24"/>
          <w:szCs w:val="24"/>
        </w:rPr>
      </w:pPr>
      <w:r w:rsidRPr="00B169D2">
        <w:rPr>
          <w:rFonts w:ascii="Times New Roman" w:hAnsi="Times New Roman" w:cs="Times New Roman"/>
          <w:noProof/>
          <w:sz w:val="24"/>
          <w:szCs w:val="24"/>
        </w:rPr>
        <w:drawing>
          <wp:inline distT="0" distB="0" distL="0" distR="0">
            <wp:extent cx="5943600" cy="2546985"/>
            <wp:effectExtent l="19050" t="0" r="1905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69D2" w:rsidRDefault="00B169D2" w:rsidP="00B462C1">
      <w:pPr>
        <w:jc w:val="center"/>
        <w:rPr>
          <w:rFonts w:ascii="Times New Roman" w:hAnsi="Times New Roman" w:cs="Times New Roman"/>
          <w:sz w:val="24"/>
          <w:szCs w:val="24"/>
        </w:rPr>
      </w:pPr>
      <w:r>
        <w:rPr>
          <w:rFonts w:ascii="Times New Roman" w:hAnsi="Times New Roman" w:cs="Times New Roman"/>
          <w:sz w:val="24"/>
          <w:szCs w:val="24"/>
        </w:rPr>
        <w:t>Figura 3</w:t>
      </w:r>
      <w:r w:rsidR="009B4D94">
        <w:rPr>
          <w:rFonts w:ascii="Times New Roman" w:hAnsi="Times New Roman" w:cs="Times New Roman"/>
          <w:sz w:val="24"/>
          <w:szCs w:val="24"/>
        </w:rPr>
        <w:t xml:space="preserve"> – vari</w:t>
      </w:r>
      <w:r w:rsidR="002608F5">
        <w:rPr>
          <w:rFonts w:ascii="Times New Roman" w:hAnsi="Times New Roman" w:cs="Times New Roman"/>
          <w:sz w:val="24"/>
          <w:szCs w:val="24"/>
        </w:rPr>
        <w:t>a</w:t>
      </w:r>
      <w:r w:rsidR="009B4D94">
        <w:rPr>
          <w:rFonts w:ascii="Times New Roman" w:hAnsi="Times New Roman" w:cs="Times New Roman"/>
          <w:sz w:val="24"/>
          <w:szCs w:val="24"/>
        </w:rPr>
        <w:t>bila 3</w:t>
      </w:r>
    </w:p>
    <w:p w:rsidR="00B169D2" w:rsidRDefault="002C547E" w:rsidP="002C54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2013 – 20,5% susțin că cei care iau deciziile sunt din cadrul instituției, pentru ca în 2016 procentajul să scadă la 17,4%; în 2013 – de la 2,2% crește la 3,3% în 2016 </w:t>
      </w:r>
      <w:r w:rsidR="008C4DE1">
        <w:rPr>
          <w:rFonts w:ascii="Times New Roman" w:hAnsi="Times New Roman" w:cs="Times New Roman"/>
          <w:sz w:val="24"/>
          <w:szCs w:val="24"/>
        </w:rPr>
        <w:t xml:space="preserve">și pentru existența </w:t>
      </w:r>
      <w:r>
        <w:rPr>
          <w:rFonts w:ascii="Times New Roman" w:hAnsi="Times New Roman" w:cs="Times New Roman"/>
          <w:sz w:val="24"/>
          <w:szCs w:val="24"/>
        </w:rPr>
        <w:t>actorilor externi; iar dacă în 2013 – 76,7% susțineau delimitarea clară a celor care decid, procentajul lor crește la 79,3% în 2016 (vezi Figura 3).</w:t>
      </w:r>
    </w:p>
    <w:p w:rsidR="002C547E" w:rsidRDefault="002C547E" w:rsidP="002C54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Este de remarcat faptul că există un anumit grad de descentralizare administrativă atât exterioară, dar</w:t>
      </w:r>
      <w:r w:rsidR="008C4DE1">
        <w:rPr>
          <w:rFonts w:ascii="Times New Roman" w:hAnsi="Times New Roman" w:cs="Times New Roman"/>
          <w:sz w:val="24"/>
          <w:szCs w:val="24"/>
        </w:rPr>
        <w:t>,</w:t>
      </w:r>
      <w:r>
        <w:rPr>
          <w:rFonts w:ascii="Times New Roman" w:hAnsi="Times New Roman" w:cs="Times New Roman"/>
          <w:sz w:val="24"/>
          <w:szCs w:val="24"/>
        </w:rPr>
        <w:t xml:space="preserve"> mai ales in</w:t>
      </w:r>
      <w:r w:rsidR="008C4DE1">
        <w:rPr>
          <w:rFonts w:ascii="Times New Roman" w:hAnsi="Times New Roman" w:cs="Times New Roman"/>
          <w:sz w:val="24"/>
          <w:szCs w:val="24"/>
        </w:rPr>
        <w:t>terioară la nivel administrativ</w:t>
      </w:r>
      <w:r>
        <w:rPr>
          <w:rFonts w:ascii="Times New Roman" w:hAnsi="Times New Roman" w:cs="Times New Roman"/>
          <w:sz w:val="24"/>
          <w:szCs w:val="24"/>
        </w:rPr>
        <w:t>, caracteristici care sunt în general specific spațiului public.</w:t>
      </w:r>
    </w:p>
    <w:p w:rsidR="002C547E" w:rsidRDefault="006F153F" w:rsidP="002C54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Dacă în 2013 – 79,4% susțineau că cei care iau decizii nu sunt independenți, procentajul lor scade la 78,2% în 2016; în 2013 – 17,5% susțineau că există un anumit grad de libertate al lor, pentru ca procentajul să scadă la 15,1% în 2016; 3,2% susțineau că sunt cvasi-independenți, pentru ca în 2016 procentajul să crească la 6,7% (Figura 4).</w:t>
      </w:r>
    </w:p>
    <w:p w:rsidR="006F153F" w:rsidRDefault="006F153F" w:rsidP="002C54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Astfel, gradul de independență al actorilor pare să urmeze aceeași dinamică </w:t>
      </w:r>
      <w:r w:rsidR="008C4DE1">
        <w:rPr>
          <w:rFonts w:ascii="Times New Roman" w:hAnsi="Times New Roman" w:cs="Times New Roman"/>
          <w:sz w:val="24"/>
          <w:szCs w:val="24"/>
        </w:rPr>
        <w:t>general,</w:t>
      </w:r>
      <w:r>
        <w:rPr>
          <w:rFonts w:ascii="Times New Roman" w:hAnsi="Times New Roman" w:cs="Times New Roman"/>
          <w:sz w:val="24"/>
          <w:szCs w:val="24"/>
        </w:rPr>
        <w:t xml:space="preserve"> precum în cazul celorlalte varibile anterioare: tinde mai mult spre centralizare instituțională, neexcluzându-se total nici un anumit grad de descentralizare, libertate.</w:t>
      </w:r>
    </w:p>
    <w:p w:rsidR="002C547E" w:rsidRDefault="002C547E" w:rsidP="002C547E">
      <w:pPr>
        <w:spacing w:after="0" w:line="360" w:lineRule="auto"/>
        <w:ind w:firstLine="720"/>
        <w:jc w:val="both"/>
        <w:rPr>
          <w:rFonts w:ascii="Times New Roman" w:hAnsi="Times New Roman" w:cs="Times New Roman"/>
          <w:sz w:val="24"/>
          <w:szCs w:val="24"/>
        </w:rPr>
      </w:pPr>
    </w:p>
    <w:p w:rsidR="00B169D2" w:rsidRDefault="0090180A" w:rsidP="00B462C1">
      <w:pPr>
        <w:jc w:val="center"/>
        <w:rPr>
          <w:rFonts w:ascii="Times New Roman" w:hAnsi="Times New Roman" w:cs="Times New Roman"/>
          <w:sz w:val="24"/>
          <w:szCs w:val="24"/>
        </w:rPr>
      </w:pPr>
      <w:r w:rsidRPr="0090180A">
        <w:rPr>
          <w:rFonts w:ascii="Times New Roman" w:hAnsi="Times New Roman" w:cs="Times New Roman"/>
          <w:noProof/>
          <w:sz w:val="24"/>
          <w:szCs w:val="24"/>
        </w:rPr>
        <w:lastRenderedPageBreak/>
        <w:drawing>
          <wp:inline distT="0" distB="0" distL="0" distR="0">
            <wp:extent cx="5943600" cy="242379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180A" w:rsidRDefault="0090180A" w:rsidP="00B462C1">
      <w:pPr>
        <w:jc w:val="center"/>
        <w:rPr>
          <w:rFonts w:ascii="Times New Roman" w:hAnsi="Times New Roman" w:cs="Times New Roman"/>
          <w:sz w:val="24"/>
          <w:szCs w:val="24"/>
        </w:rPr>
      </w:pPr>
      <w:r>
        <w:rPr>
          <w:rFonts w:ascii="Times New Roman" w:hAnsi="Times New Roman" w:cs="Times New Roman"/>
          <w:sz w:val="24"/>
          <w:szCs w:val="24"/>
        </w:rPr>
        <w:t>Figura 4</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4</w:t>
      </w:r>
    </w:p>
    <w:p w:rsidR="0090180A" w:rsidRDefault="008C4DE1" w:rsidP="00FC53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Conform Figurei</w:t>
      </w:r>
      <w:r w:rsidR="00030940">
        <w:rPr>
          <w:rFonts w:ascii="Times New Roman" w:hAnsi="Times New Roman" w:cs="Times New Roman"/>
          <w:sz w:val="24"/>
          <w:szCs w:val="24"/>
        </w:rPr>
        <w:t xml:space="preserve"> 5, </w:t>
      </w:r>
      <w:r w:rsidR="00FC53E5">
        <w:rPr>
          <w:rFonts w:ascii="Times New Roman" w:hAnsi="Times New Roman" w:cs="Times New Roman"/>
          <w:sz w:val="24"/>
          <w:szCs w:val="24"/>
        </w:rPr>
        <w:t>dacă în 2013 – 13,</w:t>
      </w:r>
      <w:r>
        <w:rPr>
          <w:rFonts w:ascii="Times New Roman" w:hAnsi="Times New Roman" w:cs="Times New Roman"/>
          <w:sz w:val="24"/>
          <w:szCs w:val="24"/>
        </w:rPr>
        <w:t>4% susțineau că grupul are un c</w:t>
      </w:r>
      <w:r w:rsidR="00FC53E5">
        <w:rPr>
          <w:rFonts w:ascii="Times New Roman" w:hAnsi="Times New Roman" w:cs="Times New Roman"/>
          <w:sz w:val="24"/>
          <w:szCs w:val="24"/>
        </w:rPr>
        <w:t>aracter unitar, în 2016 – procentajul crește la 24,6%; în 2013 – 11,9% su</w:t>
      </w:r>
      <w:r>
        <w:rPr>
          <w:rFonts w:ascii="Times New Roman" w:hAnsi="Times New Roman" w:cs="Times New Roman"/>
          <w:sz w:val="24"/>
          <w:szCs w:val="24"/>
        </w:rPr>
        <w:t>sțin caracterul său mobil, pent</w:t>
      </w:r>
      <w:r w:rsidR="00FC53E5">
        <w:rPr>
          <w:rFonts w:ascii="Times New Roman" w:hAnsi="Times New Roman" w:cs="Times New Roman"/>
          <w:sz w:val="24"/>
          <w:szCs w:val="24"/>
        </w:rPr>
        <w:t>r</w:t>
      </w:r>
      <w:r>
        <w:rPr>
          <w:rFonts w:ascii="Times New Roman" w:hAnsi="Times New Roman" w:cs="Times New Roman"/>
          <w:sz w:val="24"/>
          <w:szCs w:val="24"/>
        </w:rPr>
        <w:t>u</w:t>
      </w:r>
      <w:r w:rsidR="00FC53E5">
        <w:rPr>
          <w:rFonts w:ascii="Times New Roman" w:hAnsi="Times New Roman" w:cs="Times New Roman"/>
          <w:sz w:val="24"/>
          <w:szCs w:val="24"/>
        </w:rPr>
        <w:t xml:space="preserve"> ca procentajul să scadă la 8,5%; iar dacă în 2013 – 74,6% susțineau structura clară, procentajul scade la 66,9%.</w:t>
      </w:r>
    </w:p>
    <w:p w:rsidR="00FC53E5" w:rsidRDefault="00FC53E5" w:rsidP="00FC53E5">
      <w:pPr>
        <w:spacing w:line="360" w:lineRule="auto"/>
        <w:ind w:firstLine="720"/>
        <w:jc w:val="both"/>
        <w:rPr>
          <w:rFonts w:ascii="Times New Roman" w:hAnsi="Times New Roman" w:cs="Times New Roman"/>
          <w:sz w:val="24"/>
          <w:szCs w:val="24"/>
        </w:rPr>
      </w:pPr>
    </w:p>
    <w:p w:rsidR="0090180A" w:rsidRDefault="00616AA6" w:rsidP="00B462C1">
      <w:pPr>
        <w:jc w:val="center"/>
        <w:rPr>
          <w:rFonts w:ascii="Times New Roman" w:hAnsi="Times New Roman" w:cs="Times New Roman"/>
          <w:sz w:val="24"/>
          <w:szCs w:val="24"/>
        </w:rPr>
      </w:pPr>
      <w:r w:rsidRPr="00616AA6">
        <w:rPr>
          <w:rFonts w:ascii="Times New Roman" w:hAnsi="Times New Roman" w:cs="Times New Roman"/>
          <w:noProof/>
          <w:sz w:val="24"/>
          <w:szCs w:val="24"/>
        </w:rPr>
        <w:drawing>
          <wp:inline distT="0" distB="0" distL="0" distR="0">
            <wp:extent cx="5943600" cy="23876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53E5" w:rsidRDefault="00616AA6" w:rsidP="0039617F">
      <w:pPr>
        <w:jc w:val="center"/>
        <w:rPr>
          <w:rFonts w:ascii="Times New Roman" w:hAnsi="Times New Roman" w:cs="Times New Roman"/>
          <w:sz w:val="24"/>
          <w:szCs w:val="24"/>
        </w:rPr>
      </w:pPr>
      <w:r>
        <w:rPr>
          <w:rFonts w:ascii="Times New Roman" w:hAnsi="Times New Roman" w:cs="Times New Roman"/>
          <w:sz w:val="24"/>
          <w:szCs w:val="24"/>
        </w:rPr>
        <w:t>Figura 5</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5</w:t>
      </w:r>
    </w:p>
    <w:p w:rsidR="00FC53E5" w:rsidRDefault="00ED70EC" w:rsidP="00FC53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Dacă în 2013 – 56,9% susțineau că ierarhiile sunt recunoscute, procentajul crește în 2016 la 71,4%; 26,4% susțineau în 2013 că sunt recunoscute, dar nu sunt rigide, în 2016 procentajul scade la 18,5%; dacă în 2013 – 16,7% - sunt recunoscute, dar în practică sunt imposibil de </w:t>
      </w:r>
      <w:r>
        <w:rPr>
          <w:rFonts w:ascii="Times New Roman" w:hAnsi="Times New Roman" w:cs="Times New Roman"/>
          <w:sz w:val="24"/>
          <w:szCs w:val="24"/>
        </w:rPr>
        <w:lastRenderedPageBreak/>
        <w:t xml:space="preserve">realizat, în 2016 procentajul scade la 10,1% (vezi Figura 6). Pentru toți </w:t>
      </w:r>
      <w:r w:rsidR="0015309A">
        <w:rPr>
          <w:rFonts w:ascii="Times New Roman" w:hAnsi="Times New Roman" w:cs="Times New Roman"/>
          <w:sz w:val="24"/>
          <w:szCs w:val="24"/>
        </w:rPr>
        <w:t>i</w:t>
      </w:r>
      <w:r>
        <w:rPr>
          <w:rFonts w:ascii="Times New Roman" w:hAnsi="Times New Roman" w:cs="Times New Roman"/>
          <w:sz w:val="24"/>
          <w:szCs w:val="24"/>
        </w:rPr>
        <w:t>temii acestei variabile există o dieferență destul de mare în ceea ce privește evoluția</w:t>
      </w:r>
      <w:r w:rsidR="0015309A">
        <w:rPr>
          <w:rFonts w:ascii="Times New Roman" w:hAnsi="Times New Roman" w:cs="Times New Roman"/>
          <w:sz w:val="24"/>
          <w:szCs w:val="24"/>
        </w:rPr>
        <w:t xml:space="preserve"> lor î</w:t>
      </w:r>
      <w:r>
        <w:rPr>
          <w:rFonts w:ascii="Times New Roman" w:hAnsi="Times New Roman" w:cs="Times New Roman"/>
          <w:sz w:val="24"/>
          <w:szCs w:val="24"/>
        </w:rPr>
        <w:t xml:space="preserve">n timp, de peste 5%. </w:t>
      </w:r>
    </w:p>
    <w:p w:rsidR="000A0ED8" w:rsidRDefault="000A0ED8" w:rsidP="00B462C1">
      <w:pPr>
        <w:jc w:val="center"/>
        <w:rPr>
          <w:rFonts w:ascii="Times New Roman" w:hAnsi="Times New Roman" w:cs="Times New Roman"/>
          <w:sz w:val="24"/>
          <w:szCs w:val="24"/>
        </w:rPr>
      </w:pPr>
      <w:r w:rsidRPr="000A0ED8">
        <w:rPr>
          <w:rFonts w:ascii="Times New Roman" w:hAnsi="Times New Roman" w:cs="Times New Roman"/>
          <w:noProof/>
          <w:sz w:val="24"/>
          <w:szCs w:val="24"/>
        </w:rPr>
        <w:drawing>
          <wp:inline distT="0" distB="0" distL="0" distR="0">
            <wp:extent cx="5943600" cy="2393950"/>
            <wp:effectExtent l="19050" t="0" r="1905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0ED8" w:rsidRDefault="000A0ED8" w:rsidP="00B462C1">
      <w:pPr>
        <w:jc w:val="center"/>
        <w:rPr>
          <w:rFonts w:ascii="Times New Roman" w:hAnsi="Times New Roman" w:cs="Times New Roman"/>
          <w:sz w:val="24"/>
          <w:szCs w:val="24"/>
        </w:rPr>
      </w:pPr>
      <w:r>
        <w:rPr>
          <w:rFonts w:ascii="Times New Roman" w:hAnsi="Times New Roman" w:cs="Times New Roman"/>
          <w:sz w:val="24"/>
          <w:szCs w:val="24"/>
        </w:rPr>
        <w:t>Figura 6</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6</w:t>
      </w:r>
    </w:p>
    <w:p w:rsidR="000A0ED8" w:rsidRDefault="00923E9E" w:rsidP="00923E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Dacă în 2013 – 21,4% considerau că există o distanță între conducere și execuție, în 2016 procentajul crește la 24%; pentru 2016 – procentajul scade la 31,2% pentru cei care consider</w:t>
      </w:r>
      <w:r w:rsidR="00964845">
        <w:rPr>
          <w:rFonts w:ascii="Times New Roman" w:hAnsi="Times New Roman" w:cs="Times New Roman"/>
          <w:sz w:val="24"/>
          <w:szCs w:val="24"/>
        </w:rPr>
        <w:t>ă</w:t>
      </w:r>
      <w:r>
        <w:rPr>
          <w:rFonts w:ascii="Times New Roman" w:hAnsi="Times New Roman" w:cs="Times New Roman"/>
          <w:sz w:val="24"/>
          <w:szCs w:val="24"/>
        </w:rPr>
        <w:t xml:space="preserve"> că angajații pot și conduce, și executa; iar pentru cei care consider</w:t>
      </w:r>
      <w:r w:rsidR="00964845">
        <w:rPr>
          <w:rFonts w:ascii="Times New Roman" w:hAnsi="Times New Roman" w:cs="Times New Roman"/>
          <w:sz w:val="24"/>
          <w:szCs w:val="24"/>
        </w:rPr>
        <w:t>ă</w:t>
      </w:r>
      <w:r>
        <w:rPr>
          <w:rFonts w:ascii="Times New Roman" w:hAnsi="Times New Roman" w:cs="Times New Roman"/>
          <w:sz w:val="24"/>
          <w:szCs w:val="24"/>
        </w:rPr>
        <w:t xml:space="preserve"> că superiorii conduc și angajații executa, procentajele cresc în 2016 la 44,8% (vezi Figura 7).</w:t>
      </w:r>
    </w:p>
    <w:p w:rsidR="000A0ED8" w:rsidRDefault="000A0ED8" w:rsidP="00B462C1">
      <w:pPr>
        <w:jc w:val="center"/>
        <w:rPr>
          <w:rFonts w:ascii="Times New Roman" w:hAnsi="Times New Roman" w:cs="Times New Roman"/>
          <w:sz w:val="24"/>
          <w:szCs w:val="24"/>
        </w:rPr>
      </w:pPr>
      <w:r w:rsidRPr="000A0ED8">
        <w:rPr>
          <w:rFonts w:ascii="Times New Roman" w:hAnsi="Times New Roman" w:cs="Times New Roman"/>
          <w:noProof/>
          <w:sz w:val="24"/>
          <w:szCs w:val="24"/>
        </w:rPr>
        <w:drawing>
          <wp:inline distT="0" distB="0" distL="0" distR="0">
            <wp:extent cx="5943600" cy="232918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0ED8" w:rsidRDefault="000A0ED8" w:rsidP="00B462C1">
      <w:pPr>
        <w:jc w:val="center"/>
        <w:rPr>
          <w:rFonts w:ascii="Times New Roman" w:hAnsi="Times New Roman" w:cs="Times New Roman"/>
          <w:sz w:val="24"/>
          <w:szCs w:val="24"/>
        </w:rPr>
      </w:pPr>
      <w:r>
        <w:rPr>
          <w:rFonts w:ascii="Times New Roman" w:hAnsi="Times New Roman" w:cs="Times New Roman"/>
          <w:sz w:val="24"/>
          <w:szCs w:val="24"/>
        </w:rPr>
        <w:t>Figura 7</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7</w:t>
      </w:r>
    </w:p>
    <w:p w:rsidR="00693F44" w:rsidRDefault="00F23960" w:rsidP="00693F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2016 crește procentajul celor care susțin că decidenții iau mereu decizii bune (38,1%); dacă în 2013 – 59% susțineau că decidenții pot greși uneori când iau decizii, procentajul scade la 43,7% în 2016; iar dacă în 2013 – 13,1% susțineau că decidenții nu pot greși deoarece așa ar </w:t>
      </w:r>
      <w:r>
        <w:rPr>
          <w:rFonts w:ascii="Times New Roman" w:hAnsi="Times New Roman" w:cs="Times New Roman"/>
          <w:sz w:val="24"/>
          <w:szCs w:val="24"/>
        </w:rPr>
        <w:lastRenderedPageBreak/>
        <w:t xml:space="preserve">încălca regulile, în 2016 procentajul crește la 18,3% (vezi Figura 8). Întreaga evoluție a acestei variabile pare a exprima faptul că s-au exclus </w:t>
      </w:r>
      <w:r w:rsidR="00964845">
        <w:rPr>
          <w:rFonts w:ascii="Times New Roman" w:hAnsi="Times New Roman" w:cs="Times New Roman"/>
          <w:sz w:val="24"/>
          <w:szCs w:val="24"/>
        </w:rPr>
        <w:t>tot mai mult de la nivelul deciz</w:t>
      </w:r>
      <w:r>
        <w:rPr>
          <w:rFonts w:ascii="Times New Roman" w:hAnsi="Times New Roman" w:cs="Times New Roman"/>
          <w:sz w:val="24"/>
          <w:szCs w:val="24"/>
        </w:rPr>
        <w:t>ional erorile decidenților.</w:t>
      </w:r>
    </w:p>
    <w:p w:rsidR="000A0ED8" w:rsidRDefault="00891F37" w:rsidP="00B462C1">
      <w:pPr>
        <w:jc w:val="center"/>
        <w:rPr>
          <w:rFonts w:ascii="Times New Roman" w:hAnsi="Times New Roman" w:cs="Times New Roman"/>
          <w:sz w:val="24"/>
          <w:szCs w:val="24"/>
        </w:rPr>
      </w:pPr>
      <w:r w:rsidRPr="00891F37">
        <w:rPr>
          <w:rFonts w:ascii="Times New Roman" w:hAnsi="Times New Roman" w:cs="Times New Roman"/>
          <w:noProof/>
          <w:sz w:val="24"/>
          <w:szCs w:val="24"/>
        </w:rPr>
        <w:drawing>
          <wp:inline distT="0" distB="0" distL="0" distR="0">
            <wp:extent cx="5943600" cy="242443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1587" w:rsidRDefault="00891F37" w:rsidP="0039617F">
      <w:pPr>
        <w:jc w:val="center"/>
        <w:rPr>
          <w:rFonts w:ascii="Times New Roman" w:hAnsi="Times New Roman" w:cs="Times New Roman"/>
          <w:sz w:val="24"/>
          <w:szCs w:val="24"/>
        </w:rPr>
      </w:pPr>
      <w:r>
        <w:rPr>
          <w:rFonts w:ascii="Times New Roman" w:hAnsi="Times New Roman" w:cs="Times New Roman"/>
          <w:sz w:val="24"/>
          <w:szCs w:val="24"/>
        </w:rPr>
        <w:t>Figura 8</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8</w:t>
      </w:r>
    </w:p>
    <w:p w:rsidR="0013660B" w:rsidRDefault="0013660B" w:rsidP="004015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Pentru variabila 9, dinamica sa pe parcursul anilor 2013 – 2016 este diferită: dacă în 2013 era recunoscut cel mai mult faptul că motivațiile personale se recunoc și pot fi influențate de decizii deja luate, în 2016 – contează cel mai mult că motivațiile personale se recunosc, dar se supun (vezi Figura 9).</w:t>
      </w:r>
    </w:p>
    <w:p w:rsidR="0013660B" w:rsidRDefault="0013660B" w:rsidP="004015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acest caz, pentru anul 2016, procentajul celor care susțin că motivațiile personale se recunoc și pot fi influențate de</w:t>
      </w:r>
      <w:r w:rsidR="00964845">
        <w:rPr>
          <w:rFonts w:ascii="Times New Roman" w:hAnsi="Times New Roman" w:cs="Times New Roman"/>
          <w:sz w:val="24"/>
          <w:szCs w:val="24"/>
        </w:rPr>
        <w:t xml:space="preserve"> decizii deja luate este extrem</w:t>
      </w:r>
      <w:r>
        <w:rPr>
          <w:rFonts w:ascii="Times New Roman" w:hAnsi="Times New Roman" w:cs="Times New Roman"/>
          <w:sz w:val="24"/>
          <w:szCs w:val="24"/>
        </w:rPr>
        <w:t xml:space="preserve"> de apropiat de cel al celor care consideră că motivațiile individuale există, dar cel mai puternic are câștig de cauză.</w:t>
      </w:r>
    </w:p>
    <w:p w:rsidR="0013660B" w:rsidRDefault="0013660B" w:rsidP="004015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Evoluția acestei variabile produce (ca și în cazul variabilei 2) o mutație total diferită la nivelul modelului general al actorului rațional. Dacă în 2013, la nivelul instituției administrative, itemii celor două varibile (2 și 9) indicau mai mult evoluții incrementale și ale organizării birocratice, în 2016 acestea produc o activare și mai puternică a trăsăturilor modelului actorului rațional.</w:t>
      </w:r>
    </w:p>
    <w:p w:rsidR="00891F37" w:rsidRDefault="00891F37" w:rsidP="00B462C1">
      <w:pPr>
        <w:jc w:val="center"/>
        <w:rPr>
          <w:rFonts w:ascii="Times New Roman" w:hAnsi="Times New Roman" w:cs="Times New Roman"/>
          <w:sz w:val="24"/>
          <w:szCs w:val="24"/>
        </w:rPr>
      </w:pPr>
      <w:r w:rsidRPr="00891F37">
        <w:rPr>
          <w:rFonts w:ascii="Times New Roman" w:hAnsi="Times New Roman" w:cs="Times New Roman"/>
          <w:noProof/>
          <w:sz w:val="24"/>
          <w:szCs w:val="24"/>
        </w:rPr>
        <w:lastRenderedPageBreak/>
        <w:drawing>
          <wp:inline distT="0" distB="0" distL="0" distR="0">
            <wp:extent cx="5943600" cy="259334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1F37" w:rsidRDefault="00891F37" w:rsidP="00B462C1">
      <w:pPr>
        <w:jc w:val="center"/>
        <w:rPr>
          <w:rFonts w:ascii="Times New Roman" w:hAnsi="Times New Roman" w:cs="Times New Roman"/>
          <w:sz w:val="24"/>
          <w:szCs w:val="24"/>
        </w:rPr>
      </w:pPr>
      <w:r>
        <w:rPr>
          <w:rFonts w:ascii="Times New Roman" w:hAnsi="Times New Roman" w:cs="Times New Roman"/>
          <w:sz w:val="24"/>
          <w:szCs w:val="24"/>
        </w:rPr>
        <w:t>Figura 9</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9</w:t>
      </w:r>
    </w:p>
    <w:p w:rsidR="0039617F" w:rsidRDefault="0039617F" w:rsidP="00B462C1">
      <w:pPr>
        <w:jc w:val="center"/>
        <w:rPr>
          <w:rFonts w:ascii="Times New Roman" w:hAnsi="Times New Roman" w:cs="Times New Roman"/>
          <w:sz w:val="24"/>
          <w:szCs w:val="24"/>
        </w:rPr>
      </w:pPr>
    </w:p>
    <w:p w:rsidR="007948E7" w:rsidRDefault="00FF3CF2" w:rsidP="007948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Dacă în 2013 – 56,9% susțineau că cei care decid elimină disensiunile, certurile, în 2016 procentajul lor scade la 46,7%; în 2013 – 18,5% susțineau că se i</w:t>
      </w:r>
      <w:r w:rsidR="00964845">
        <w:rPr>
          <w:rFonts w:ascii="Times New Roman" w:hAnsi="Times New Roman" w:cs="Times New Roman"/>
          <w:sz w:val="24"/>
          <w:szCs w:val="24"/>
        </w:rPr>
        <w:t>au decizii după modele puse deja</w:t>
      </w:r>
      <w:r>
        <w:rPr>
          <w:rFonts w:ascii="Times New Roman" w:hAnsi="Times New Roman" w:cs="Times New Roman"/>
          <w:sz w:val="24"/>
          <w:szCs w:val="24"/>
        </w:rPr>
        <w:t xml:space="preserve"> în practică pentru a se elimia disensiunile, pentru ca în 2016 procentajul să crească la 33,3%; iar dacă în 2013 – 24,6% susțineau că se prefer</w:t>
      </w:r>
      <w:r w:rsidR="00964845">
        <w:rPr>
          <w:rFonts w:ascii="Times New Roman" w:hAnsi="Times New Roman" w:cs="Times New Roman"/>
          <w:sz w:val="24"/>
          <w:szCs w:val="24"/>
        </w:rPr>
        <w:t>ă</w:t>
      </w:r>
      <w:r>
        <w:rPr>
          <w:rFonts w:ascii="Times New Roman" w:hAnsi="Times New Roman" w:cs="Times New Roman"/>
          <w:sz w:val="24"/>
          <w:szCs w:val="24"/>
        </w:rPr>
        <w:t xml:space="preserve"> alianțele între cei care decid în locul disensiunilor, pentru ca procentajul să</w:t>
      </w:r>
      <w:r w:rsidR="00964845">
        <w:rPr>
          <w:rFonts w:ascii="Times New Roman" w:hAnsi="Times New Roman" w:cs="Times New Roman"/>
          <w:sz w:val="24"/>
          <w:szCs w:val="24"/>
        </w:rPr>
        <w:t xml:space="preserve"> </w:t>
      </w:r>
      <w:r>
        <w:rPr>
          <w:rFonts w:ascii="Times New Roman" w:hAnsi="Times New Roman" w:cs="Times New Roman"/>
          <w:sz w:val="24"/>
          <w:szCs w:val="24"/>
        </w:rPr>
        <w:t>scadă apoi la 19% (vezi Figura 10).</w:t>
      </w:r>
    </w:p>
    <w:p w:rsidR="0013660B" w:rsidRDefault="0013660B" w:rsidP="00B462C1">
      <w:pPr>
        <w:jc w:val="center"/>
        <w:rPr>
          <w:rFonts w:ascii="Times New Roman" w:hAnsi="Times New Roman" w:cs="Times New Roman"/>
          <w:sz w:val="24"/>
          <w:szCs w:val="24"/>
        </w:rPr>
      </w:pPr>
    </w:p>
    <w:p w:rsidR="00891F37" w:rsidRDefault="00954AE4" w:rsidP="00B462C1">
      <w:pPr>
        <w:jc w:val="center"/>
        <w:rPr>
          <w:rFonts w:ascii="Times New Roman" w:hAnsi="Times New Roman" w:cs="Times New Roman"/>
          <w:sz w:val="24"/>
          <w:szCs w:val="24"/>
        </w:rPr>
      </w:pPr>
      <w:r w:rsidRPr="00954AE4">
        <w:rPr>
          <w:rFonts w:ascii="Times New Roman" w:hAnsi="Times New Roman" w:cs="Times New Roman"/>
          <w:noProof/>
          <w:sz w:val="24"/>
          <w:szCs w:val="24"/>
        </w:rPr>
        <w:drawing>
          <wp:inline distT="0" distB="0" distL="0" distR="0">
            <wp:extent cx="5943600" cy="2539365"/>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4AE4" w:rsidRDefault="00954AE4" w:rsidP="00B462C1">
      <w:pPr>
        <w:jc w:val="center"/>
        <w:rPr>
          <w:rFonts w:ascii="Times New Roman" w:hAnsi="Times New Roman" w:cs="Times New Roman"/>
          <w:sz w:val="24"/>
          <w:szCs w:val="24"/>
        </w:rPr>
      </w:pPr>
      <w:r>
        <w:rPr>
          <w:rFonts w:ascii="Times New Roman" w:hAnsi="Times New Roman" w:cs="Times New Roman"/>
          <w:sz w:val="24"/>
          <w:szCs w:val="24"/>
        </w:rPr>
        <w:t>Figura 10</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10</w:t>
      </w:r>
    </w:p>
    <w:p w:rsidR="00954AE4" w:rsidRDefault="00954AE4" w:rsidP="00B462C1">
      <w:pPr>
        <w:jc w:val="center"/>
        <w:rPr>
          <w:rFonts w:ascii="Times New Roman" w:hAnsi="Times New Roman" w:cs="Times New Roman"/>
          <w:sz w:val="24"/>
          <w:szCs w:val="24"/>
        </w:rPr>
      </w:pPr>
    </w:p>
    <w:p w:rsidR="00FF3CF2" w:rsidRDefault="00230A42" w:rsidP="00FF3C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Dacă în 2013 - 50,8% susțineau că există un control strict din partea superiorilor, în 2016 procentajul crește la 74,6%; dacă în 2013 – 18% susțineau că nu există un control strict, procentajul scade la 11,1% în 2016; iar dacă în 2013 – 31,1% susțineau că se prefer</w:t>
      </w:r>
      <w:r w:rsidR="00964845">
        <w:rPr>
          <w:rFonts w:ascii="Times New Roman" w:hAnsi="Times New Roman" w:cs="Times New Roman"/>
          <w:sz w:val="24"/>
          <w:szCs w:val="24"/>
        </w:rPr>
        <w:t>ă alianțele între cei care de</w:t>
      </w:r>
      <w:r>
        <w:rPr>
          <w:rFonts w:ascii="Times New Roman" w:hAnsi="Times New Roman" w:cs="Times New Roman"/>
          <w:sz w:val="24"/>
          <w:szCs w:val="24"/>
        </w:rPr>
        <w:t>c</w:t>
      </w:r>
      <w:r w:rsidR="00964845">
        <w:rPr>
          <w:rFonts w:ascii="Times New Roman" w:hAnsi="Times New Roman" w:cs="Times New Roman"/>
          <w:sz w:val="24"/>
          <w:szCs w:val="24"/>
        </w:rPr>
        <w:t>i</w:t>
      </w:r>
      <w:r>
        <w:rPr>
          <w:rFonts w:ascii="Times New Roman" w:hAnsi="Times New Roman" w:cs="Times New Roman"/>
          <w:sz w:val="24"/>
          <w:szCs w:val="24"/>
        </w:rPr>
        <w:t>d pentru a dete</w:t>
      </w:r>
      <w:r w:rsidR="00964845">
        <w:rPr>
          <w:rFonts w:ascii="Times New Roman" w:hAnsi="Times New Roman" w:cs="Times New Roman"/>
          <w:sz w:val="24"/>
          <w:szCs w:val="24"/>
        </w:rPr>
        <w:t xml:space="preserve">rmina un anumit grad de control </w:t>
      </w:r>
      <w:r>
        <w:rPr>
          <w:rFonts w:ascii="Times New Roman" w:hAnsi="Times New Roman" w:cs="Times New Roman"/>
          <w:sz w:val="24"/>
          <w:szCs w:val="24"/>
        </w:rPr>
        <w:t>asupra angajaților, procentajul scade la 14,3% în 2016 (vezi Figura 11).</w:t>
      </w:r>
    </w:p>
    <w:p w:rsidR="00A35E2F" w:rsidRDefault="00A35E2F" w:rsidP="00B462C1">
      <w:pPr>
        <w:jc w:val="center"/>
        <w:rPr>
          <w:rFonts w:ascii="Times New Roman" w:hAnsi="Times New Roman" w:cs="Times New Roman"/>
          <w:sz w:val="24"/>
          <w:szCs w:val="24"/>
        </w:rPr>
      </w:pPr>
      <w:r w:rsidRPr="00A35E2F">
        <w:rPr>
          <w:rFonts w:ascii="Times New Roman" w:hAnsi="Times New Roman" w:cs="Times New Roman"/>
          <w:noProof/>
          <w:sz w:val="24"/>
          <w:szCs w:val="24"/>
        </w:rPr>
        <w:drawing>
          <wp:inline distT="0" distB="0" distL="0" distR="0">
            <wp:extent cx="5943600" cy="2585720"/>
            <wp:effectExtent l="19050" t="0" r="19050" b="50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35E2F" w:rsidRDefault="00A35E2F" w:rsidP="00B462C1">
      <w:pPr>
        <w:jc w:val="center"/>
        <w:rPr>
          <w:rFonts w:ascii="Times New Roman" w:hAnsi="Times New Roman" w:cs="Times New Roman"/>
          <w:sz w:val="24"/>
          <w:szCs w:val="24"/>
        </w:rPr>
      </w:pPr>
      <w:r>
        <w:rPr>
          <w:rFonts w:ascii="Times New Roman" w:hAnsi="Times New Roman" w:cs="Times New Roman"/>
          <w:sz w:val="24"/>
          <w:szCs w:val="24"/>
        </w:rPr>
        <w:t>Figura 11</w:t>
      </w:r>
      <w:r w:rsidR="009B4D94">
        <w:rPr>
          <w:rFonts w:ascii="Times New Roman" w:hAnsi="Times New Roman" w:cs="Times New Roman"/>
          <w:sz w:val="24"/>
          <w:szCs w:val="24"/>
        </w:rPr>
        <w:t xml:space="preserve"> –</w:t>
      </w:r>
      <w:r w:rsidR="009B4D94" w:rsidRPr="009B4D94">
        <w:rPr>
          <w:rFonts w:ascii="Times New Roman" w:hAnsi="Times New Roman" w:cs="Times New Roman"/>
          <w:sz w:val="24"/>
          <w:szCs w:val="24"/>
        </w:rPr>
        <w:t xml:space="preserve"> </w:t>
      </w:r>
      <w:r w:rsidR="009B4D94">
        <w:rPr>
          <w:rFonts w:ascii="Times New Roman" w:hAnsi="Times New Roman" w:cs="Times New Roman"/>
          <w:sz w:val="24"/>
          <w:szCs w:val="24"/>
        </w:rPr>
        <w:t>vari</w:t>
      </w:r>
      <w:r w:rsidR="002608F5">
        <w:rPr>
          <w:rFonts w:ascii="Times New Roman" w:hAnsi="Times New Roman" w:cs="Times New Roman"/>
          <w:sz w:val="24"/>
          <w:szCs w:val="24"/>
        </w:rPr>
        <w:t>a</w:t>
      </w:r>
      <w:r w:rsidR="009B4D94">
        <w:rPr>
          <w:rFonts w:ascii="Times New Roman" w:hAnsi="Times New Roman" w:cs="Times New Roman"/>
          <w:sz w:val="24"/>
          <w:szCs w:val="24"/>
        </w:rPr>
        <w:t>bila 11</w:t>
      </w:r>
    </w:p>
    <w:p w:rsidR="00F0631B" w:rsidRDefault="00F0631B" w:rsidP="00B462C1">
      <w:pPr>
        <w:jc w:val="center"/>
        <w:rPr>
          <w:rFonts w:ascii="Times New Roman" w:hAnsi="Times New Roman" w:cs="Times New Roman"/>
          <w:sz w:val="24"/>
          <w:szCs w:val="24"/>
        </w:rPr>
      </w:pPr>
    </w:p>
    <w:p w:rsidR="00230A42" w:rsidRDefault="00230A42" w:rsidP="00F06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 poate remarca faptul că pe parcursul celor trei ani, cea mai mare diferență de procentaje se întâlnește în cazul acestei variabile: pentru anul 2016, procentajul celor care consider</w:t>
      </w:r>
      <w:r w:rsidR="00964845">
        <w:rPr>
          <w:rFonts w:ascii="Times New Roman" w:hAnsi="Times New Roman" w:cs="Times New Roman"/>
          <w:sz w:val="24"/>
          <w:szCs w:val="24"/>
        </w:rPr>
        <w:t>ă</w:t>
      </w:r>
      <w:r>
        <w:rPr>
          <w:rFonts w:ascii="Times New Roman" w:hAnsi="Times New Roman" w:cs="Times New Roman"/>
          <w:sz w:val="24"/>
          <w:szCs w:val="24"/>
        </w:rPr>
        <w:t xml:space="preserve"> că există un control strict din partea supe</w:t>
      </w:r>
      <w:r w:rsidR="00964845">
        <w:rPr>
          <w:rFonts w:ascii="Times New Roman" w:hAnsi="Times New Roman" w:cs="Times New Roman"/>
          <w:sz w:val="24"/>
          <w:szCs w:val="24"/>
        </w:rPr>
        <w:t>r</w:t>
      </w:r>
      <w:r>
        <w:rPr>
          <w:rFonts w:ascii="Times New Roman" w:hAnsi="Times New Roman" w:cs="Times New Roman"/>
          <w:sz w:val="24"/>
          <w:szCs w:val="24"/>
        </w:rPr>
        <w:t>iorilor crește cu 23,8%. În cazul tuturor celor trei itemi ai acestei variabile, diferențele între ani între procentaje sunt mari: de peste 7%.</w:t>
      </w:r>
    </w:p>
    <w:p w:rsidR="00F0631B" w:rsidRDefault="00F0631B" w:rsidP="00F06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raport cu dinamica modelului actorului rațional la nivelul administrației publice locale din orașul Vaslui (în speță, Primăria), se poate afirma faptul că evoluția administrativă nu este una extrem de diferită pentru variabilele 1, 3, 4, 5, 7; varia</w:t>
      </w:r>
      <w:r w:rsidR="00964845">
        <w:rPr>
          <w:rFonts w:ascii="Times New Roman" w:hAnsi="Times New Roman" w:cs="Times New Roman"/>
          <w:sz w:val="24"/>
          <w:szCs w:val="24"/>
        </w:rPr>
        <w:t>bilele 6, 8, 10, 11 înregistreaz</w:t>
      </w:r>
      <w:r>
        <w:rPr>
          <w:rFonts w:ascii="Times New Roman" w:hAnsi="Times New Roman" w:cs="Times New Roman"/>
          <w:sz w:val="24"/>
          <w:szCs w:val="24"/>
        </w:rPr>
        <w:t>ă cel puțin în cazul unui item diferențe mult mai vizibile ale evoluției procentajelor lor în intervalul 2013 – 2016, iar varibilele 2 și 9 produc însăși o modificare a ierarhei itemilor vari</w:t>
      </w:r>
      <w:r w:rsidR="00964845">
        <w:rPr>
          <w:rFonts w:ascii="Times New Roman" w:hAnsi="Times New Roman" w:cs="Times New Roman"/>
          <w:sz w:val="24"/>
          <w:szCs w:val="24"/>
        </w:rPr>
        <w:t>a</w:t>
      </w:r>
      <w:r>
        <w:rPr>
          <w:rFonts w:ascii="Times New Roman" w:hAnsi="Times New Roman" w:cs="Times New Roman"/>
          <w:sz w:val="24"/>
          <w:szCs w:val="24"/>
        </w:rPr>
        <w:t>bilelor.</w:t>
      </w:r>
    </w:p>
    <w:p w:rsidR="00E3679F" w:rsidRDefault="00E3679F" w:rsidP="00F0631B">
      <w:pPr>
        <w:spacing w:after="0" w:line="360" w:lineRule="auto"/>
        <w:ind w:firstLine="720"/>
        <w:jc w:val="both"/>
        <w:rPr>
          <w:rFonts w:ascii="Times New Roman" w:hAnsi="Times New Roman" w:cs="Times New Roman"/>
          <w:sz w:val="24"/>
          <w:szCs w:val="24"/>
        </w:rPr>
      </w:pPr>
    </w:p>
    <w:p w:rsidR="00E3679F" w:rsidRDefault="00E3679F" w:rsidP="00F0631B">
      <w:pPr>
        <w:spacing w:after="0" w:line="360" w:lineRule="auto"/>
        <w:ind w:firstLine="720"/>
        <w:jc w:val="both"/>
        <w:rPr>
          <w:rFonts w:ascii="Times New Roman" w:hAnsi="Times New Roman" w:cs="Times New Roman"/>
          <w:b/>
          <w:sz w:val="24"/>
          <w:szCs w:val="24"/>
        </w:rPr>
      </w:pPr>
    </w:p>
    <w:p w:rsidR="00E3679F" w:rsidRDefault="00E3679F" w:rsidP="00F0631B">
      <w:pPr>
        <w:spacing w:after="0" w:line="360" w:lineRule="auto"/>
        <w:ind w:firstLine="720"/>
        <w:jc w:val="both"/>
        <w:rPr>
          <w:rFonts w:ascii="Times New Roman" w:hAnsi="Times New Roman" w:cs="Times New Roman"/>
          <w:b/>
          <w:sz w:val="24"/>
          <w:szCs w:val="24"/>
        </w:rPr>
      </w:pPr>
      <w:r w:rsidRPr="00E3679F">
        <w:rPr>
          <w:rFonts w:ascii="Times New Roman" w:hAnsi="Times New Roman" w:cs="Times New Roman"/>
          <w:b/>
          <w:sz w:val="24"/>
          <w:szCs w:val="24"/>
        </w:rPr>
        <w:t>Concluzii</w:t>
      </w:r>
    </w:p>
    <w:p w:rsidR="00E3679F" w:rsidRDefault="00B7428D" w:rsidP="00F0631B">
      <w:pPr>
        <w:spacing w:after="0" w:line="360" w:lineRule="auto"/>
        <w:ind w:firstLine="720"/>
        <w:jc w:val="both"/>
        <w:rPr>
          <w:rFonts w:ascii="Times New Roman" w:hAnsi="Times New Roman" w:cs="Times New Roman"/>
          <w:sz w:val="24"/>
          <w:szCs w:val="24"/>
        </w:rPr>
      </w:pPr>
      <w:r w:rsidRPr="00B7428D">
        <w:rPr>
          <w:rFonts w:ascii="Times New Roman" w:hAnsi="Times New Roman" w:cs="Times New Roman"/>
          <w:sz w:val="24"/>
          <w:szCs w:val="24"/>
        </w:rPr>
        <w:t>Administrația publică este într-o dinamică continuă atât la nivel local, regional sau local, dinamică care este produsă atât de modificările provenite din mediu și care se răsf</w:t>
      </w:r>
      <w:r w:rsidR="00964845">
        <w:rPr>
          <w:rFonts w:ascii="Times New Roman" w:hAnsi="Times New Roman" w:cs="Times New Roman"/>
          <w:sz w:val="24"/>
          <w:szCs w:val="24"/>
        </w:rPr>
        <w:t>râng asupra sectorului public (</w:t>
      </w:r>
      <w:r w:rsidRPr="00B7428D">
        <w:rPr>
          <w:rFonts w:ascii="Times New Roman" w:hAnsi="Times New Roman" w:cs="Times New Roman"/>
          <w:sz w:val="24"/>
          <w:szCs w:val="24"/>
        </w:rPr>
        <w:t>în cazul de față, de exemplu, implicarea diversificarea actorilor care provin din afara instituției administrative)</w:t>
      </w:r>
      <w:r>
        <w:rPr>
          <w:rFonts w:ascii="Times New Roman" w:hAnsi="Times New Roman" w:cs="Times New Roman"/>
          <w:sz w:val="24"/>
          <w:szCs w:val="24"/>
        </w:rPr>
        <w:t>, cât și din interiorul instituției, prin activarea în mod diferit a decidenților instituționali.</w:t>
      </w:r>
    </w:p>
    <w:p w:rsidR="00B7428D" w:rsidRDefault="00B7428D" w:rsidP="00F06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w:t>
      </w:r>
      <w:r w:rsidR="008C2EB1">
        <w:rPr>
          <w:rFonts w:ascii="Times New Roman" w:hAnsi="Times New Roman" w:cs="Times New Roman"/>
          <w:sz w:val="24"/>
          <w:szCs w:val="24"/>
        </w:rPr>
        <w:t>i</w:t>
      </w:r>
      <w:r w:rsidR="00964845">
        <w:rPr>
          <w:rFonts w:ascii="Times New Roman" w:hAnsi="Times New Roman" w:cs="Times New Roman"/>
          <w:sz w:val="24"/>
          <w:szCs w:val="24"/>
        </w:rPr>
        <w:t>za de față a demonstrat</w:t>
      </w:r>
      <w:r>
        <w:rPr>
          <w:rFonts w:ascii="Times New Roman" w:hAnsi="Times New Roman" w:cs="Times New Roman"/>
          <w:sz w:val="24"/>
          <w:szCs w:val="24"/>
        </w:rPr>
        <w:t xml:space="preserve"> faptul că administrația publică locală (în acest caz, a orașului Vaslui) este supusă unei dinamici generale care presupune</w:t>
      </w:r>
      <w:r w:rsidR="00964845">
        <w:rPr>
          <w:rFonts w:ascii="Times New Roman" w:hAnsi="Times New Roman" w:cs="Times New Roman"/>
          <w:sz w:val="24"/>
          <w:szCs w:val="24"/>
        </w:rPr>
        <w:t>,</w:t>
      </w:r>
      <w:r>
        <w:rPr>
          <w:rFonts w:ascii="Times New Roman" w:hAnsi="Times New Roman" w:cs="Times New Roman"/>
          <w:sz w:val="24"/>
          <w:szCs w:val="24"/>
        </w:rPr>
        <w:t xml:space="preserve"> atât păstrarea unui anumit grad de centralizare birocratică, cât și acordarea unui </w:t>
      </w:r>
      <w:r w:rsidR="00964845">
        <w:rPr>
          <w:rFonts w:ascii="Times New Roman" w:hAnsi="Times New Roman" w:cs="Times New Roman"/>
          <w:sz w:val="24"/>
          <w:szCs w:val="24"/>
        </w:rPr>
        <w:t>rol</w:t>
      </w:r>
      <w:r>
        <w:rPr>
          <w:rFonts w:ascii="Times New Roman" w:hAnsi="Times New Roman" w:cs="Times New Roman"/>
          <w:sz w:val="24"/>
          <w:szCs w:val="24"/>
        </w:rPr>
        <w:t xml:space="preserve"> mult mai mare actorilor decizionali, atât centralizarea în baza organigramei, cât și un anuit tip de libertate de mișcare a structurilor instituționale (birouri, department, etc.), atât recunoașterea decidenților și a de</w:t>
      </w:r>
      <w:r w:rsidR="00964845">
        <w:rPr>
          <w:rFonts w:ascii="Times New Roman" w:hAnsi="Times New Roman" w:cs="Times New Roman"/>
          <w:sz w:val="24"/>
          <w:szCs w:val="24"/>
        </w:rPr>
        <w:t>ciziilor individuale, de grup, cât ți la nivel</w:t>
      </w:r>
      <w:r>
        <w:rPr>
          <w:rFonts w:ascii="Times New Roman" w:hAnsi="Times New Roman" w:cs="Times New Roman"/>
          <w:sz w:val="24"/>
          <w:szCs w:val="24"/>
        </w:rPr>
        <w:t xml:space="preserve"> h</w:t>
      </w:r>
      <w:r w:rsidR="00964845">
        <w:rPr>
          <w:rFonts w:ascii="Times New Roman" w:hAnsi="Times New Roman" w:cs="Times New Roman"/>
          <w:sz w:val="24"/>
          <w:szCs w:val="24"/>
        </w:rPr>
        <w:t>olistic, instituțional</w:t>
      </w:r>
      <w:r>
        <w:rPr>
          <w:rFonts w:ascii="Times New Roman" w:hAnsi="Times New Roman" w:cs="Times New Roman"/>
          <w:sz w:val="24"/>
          <w:szCs w:val="24"/>
        </w:rPr>
        <w:t>.</w:t>
      </w:r>
    </w:p>
    <w:p w:rsidR="00B7428D" w:rsidRDefault="00B7428D" w:rsidP="00F06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 poate remarca că</w:t>
      </w:r>
      <w:r w:rsidR="006E0EB0">
        <w:rPr>
          <w:rFonts w:ascii="Times New Roman" w:hAnsi="Times New Roman" w:cs="Times New Roman"/>
          <w:sz w:val="24"/>
          <w:szCs w:val="24"/>
        </w:rPr>
        <w:t>,</w:t>
      </w:r>
      <w:r>
        <w:rPr>
          <w:rFonts w:ascii="Times New Roman" w:hAnsi="Times New Roman" w:cs="Times New Roman"/>
          <w:sz w:val="24"/>
          <w:szCs w:val="24"/>
        </w:rPr>
        <w:t xml:space="preserve"> pe parcursul celor tre ani, administrația public</w:t>
      </w:r>
      <w:r w:rsidR="006E0EB0">
        <w:rPr>
          <w:rFonts w:ascii="Times New Roman" w:hAnsi="Times New Roman" w:cs="Times New Roman"/>
          <w:sz w:val="24"/>
          <w:szCs w:val="24"/>
        </w:rPr>
        <w:t>ă</w:t>
      </w:r>
      <w:r>
        <w:rPr>
          <w:rFonts w:ascii="Times New Roman" w:hAnsi="Times New Roman" w:cs="Times New Roman"/>
          <w:sz w:val="24"/>
          <w:szCs w:val="24"/>
        </w:rPr>
        <w:t xml:space="preserve"> locală a dezvoltat un model </w:t>
      </w:r>
      <w:r w:rsidR="006E0EB0">
        <w:rPr>
          <w:rFonts w:ascii="Times New Roman" w:hAnsi="Times New Roman" w:cs="Times New Roman"/>
          <w:sz w:val="24"/>
          <w:szCs w:val="24"/>
        </w:rPr>
        <w:t>al actorului rațional, cu inflex</w:t>
      </w:r>
      <w:r>
        <w:rPr>
          <w:rFonts w:ascii="Times New Roman" w:hAnsi="Times New Roman" w:cs="Times New Roman"/>
          <w:sz w:val="24"/>
          <w:szCs w:val="24"/>
        </w:rPr>
        <w:t xml:space="preserve">iuni incrementale și ale organizării birocratice, dar o dată cu </w:t>
      </w:r>
      <w:r w:rsidR="006E0EB0">
        <w:rPr>
          <w:rFonts w:ascii="Times New Roman" w:hAnsi="Times New Roman" w:cs="Times New Roman"/>
          <w:sz w:val="24"/>
          <w:szCs w:val="24"/>
        </w:rPr>
        <w:t>t</w:t>
      </w:r>
      <w:r>
        <w:rPr>
          <w:rFonts w:ascii="Times New Roman" w:hAnsi="Times New Roman" w:cs="Times New Roman"/>
          <w:sz w:val="24"/>
          <w:szCs w:val="24"/>
        </w:rPr>
        <w:t>recerea timpului, evoluția la acest nivel a fost în special una de fundamentare a trăsăturilor modelului actorului rațional, și a logicii raționale specific</w:t>
      </w:r>
      <w:r w:rsidR="006E0EB0">
        <w:rPr>
          <w:rFonts w:ascii="Times New Roman" w:hAnsi="Times New Roman" w:cs="Times New Roman"/>
          <w:sz w:val="24"/>
          <w:szCs w:val="24"/>
        </w:rPr>
        <w:t>ă</w:t>
      </w:r>
      <w:r>
        <w:rPr>
          <w:rFonts w:ascii="Times New Roman" w:hAnsi="Times New Roman" w:cs="Times New Roman"/>
          <w:sz w:val="24"/>
          <w:szCs w:val="24"/>
        </w:rPr>
        <w:t xml:space="preserve"> decidenților.</w:t>
      </w:r>
    </w:p>
    <w:p w:rsidR="00B7428D" w:rsidRDefault="00B7428D" w:rsidP="00F06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Această evoluție la nivelul administrației publice locale poate fi asimilat</w:t>
      </w:r>
      <w:r w:rsidR="006E0EB0">
        <w:rPr>
          <w:rFonts w:ascii="Times New Roman" w:hAnsi="Times New Roman" w:cs="Times New Roman"/>
          <w:sz w:val="24"/>
          <w:szCs w:val="24"/>
        </w:rPr>
        <w:t>ă însăși evoluției societății, î</w:t>
      </w:r>
      <w:r>
        <w:rPr>
          <w:rFonts w:ascii="Times New Roman" w:hAnsi="Times New Roman" w:cs="Times New Roman"/>
          <w:sz w:val="24"/>
          <w:szCs w:val="24"/>
        </w:rPr>
        <w:t>n sensul de a nu pierde din vedere principiile marketizării, a aplicării principiilor de piață în sectorul public</w:t>
      </w:r>
      <w:r w:rsidR="006E0EB0">
        <w:rPr>
          <w:rFonts w:ascii="Times New Roman" w:hAnsi="Times New Roman" w:cs="Times New Roman"/>
          <w:sz w:val="24"/>
          <w:szCs w:val="24"/>
        </w:rPr>
        <w:t>,</w:t>
      </w:r>
      <w:r>
        <w:rPr>
          <w:rFonts w:ascii="Times New Roman" w:hAnsi="Times New Roman" w:cs="Times New Roman"/>
          <w:sz w:val="24"/>
          <w:szCs w:val="24"/>
        </w:rPr>
        <w:t xml:space="preserve"> cu scopul de a măsura cât mai mult performanțele, cantitatea serviciilor și a bunurilor, etc. Din acest punct de vedere, analiza de față pare să deschidă o linie a noului management public care ar putea să fie aplica</w:t>
      </w:r>
      <w:r w:rsidR="006E0EB0">
        <w:rPr>
          <w:rFonts w:ascii="Times New Roman" w:hAnsi="Times New Roman" w:cs="Times New Roman"/>
          <w:sz w:val="24"/>
          <w:szCs w:val="24"/>
        </w:rPr>
        <w:t>t (sigur cu fiecare instituție î</w:t>
      </w:r>
      <w:r>
        <w:rPr>
          <w:rFonts w:ascii="Times New Roman" w:hAnsi="Times New Roman" w:cs="Times New Roman"/>
          <w:sz w:val="24"/>
          <w:szCs w:val="24"/>
        </w:rPr>
        <w:t>n parte, caz separat)</w:t>
      </w:r>
      <w:r w:rsidR="0021458C">
        <w:rPr>
          <w:rFonts w:ascii="Times New Roman" w:hAnsi="Times New Roman" w:cs="Times New Roman"/>
          <w:sz w:val="24"/>
          <w:szCs w:val="24"/>
        </w:rPr>
        <w:t xml:space="preserve"> la nivelul administrației publice locale românești.</w:t>
      </w:r>
    </w:p>
    <w:p w:rsidR="002B426B" w:rsidRDefault="002B426B" w:rsidP="00F0631B">
      <w:pPr>
        <w:spacing w:after="0" w:line="360" w:lineRule="auto"/>
        <w:ind w:firstLine="720"/>
        <w:jc w:val="both"/>
        <w:rPr>
          <w:rFonts w:ascii="Times New Roman" w:hAnsi="Times New Roman" w:cs="Times New Roman"/>
          <w:sz w:val="24"/>
          <w:szCs w:val="24"/>
        </w:rPr>
      </w:pPr>
    </w:p>
    <w:p w:rsidR="00F12608" w:rsidRPr="002B426B" w:rsidRDefault="002B426B" w:rsidP="00F12608">
      <w:pPr>
        <w:spacing w:after="0" w:line="360" w:lineRule="auto"/>
        <w:jc w:val="both"/>
        <w:rPr>
          <w:rFonts w:ascii="Times New Roman" w:hAnsi="Times New Roman" w:cs="Times New Roman"/>
          <w:b/>
          <w:sz w:val="24"/>
          <w:szCs w:val="24"/>
        </w:rPr>
      </w:pPr>
      <w:r w:rsidRPr="002B426B">
        <w:rPr>
          <w:rFonts w:ascii="Times New Roman" w:hAnsi="Times New Roman" w:cs="Times New Roman"/>
          <w:b/>
          <w:sz w:val="24"/>
          <w:szCs w:val="24"/>
        </w:rPr>
        <w:t>Bibliografie:</w:t>
      </w:r>
    </w:p>
    <w:p w:rsidR="00B116E6" w:rsidRPr="00B116E6" w:rsidRDefault="00A745CE" w:rsidP="00B116E6">
      <w:pPr>
        <w:pStyle w:val="FootnoteText"/>
        <w:numPr>
          <w:ilvl w:val="0"/>
          <w:numId w:val="4"/>
        </w:numPr>
        <w:spacing w:line="360" w:lineRule="auto"/>
        <w:jc w:val="both"/>
        <w:rPr>
          <w:rStyle w:val="Emphasis"/>
          <w:rFonts w:ascii="Times New Roman" w:hAnsi="Times New Roman" w:cs="Times New Roman"/>
          <w:bCs/>
          <w:i w:val="0"/>
          <w:iCs w:val="0"/>
          <w:sz w:val="24"/>
          <w:szCs w:val="24"/>
          <w:shd w:val="clear" w:color="auto" w:fill="FFFFFF"/>
        </w:rPr>
      </w:pPr>
      <w:r w:rsidRPr="00E611C0">
        <w:rPr>
          <w:rFonts w:ascii="Times New Roman" w:eastAsia="Calibri" w:hAnsi="Times New Roman" w:cs="Times New Roman"/>
          <w:sz w:val="24"/>
          <w:szCs w:val="24"/>
          <w:lang w:val="ro-RO"/>
        </w:rPr>
        <w:t xml:space="preserve">Coleman, J.S., </w:t>
      </w:r>
      <w:r w:rsidRPr="00E611C0">
        <w:rPr>
          <w:rFonts w:ascii="Times New Roman" w:hAnsi="Times New Roman" w:cs="Times New Roman"/>
          <w:i/>
          <w:sz w:val="24"/>
          <w:szCs w:val="24"/>
          <w:shd w:val="clear" w:color="auto" w:fill="FFFFFF"/>
        </w:rPr>
        <w:t>Mathematics of Collective Action</w:t>
      </w:r>
      <w:r w:rsidRPr="00E611C0">
        <w:rPr>
          <w:rFonts w:ascii="Times New Roman" w:hAnsi="Times New Roman" w:cs="Times New Roman"/>
          <w:sz w:val="24"/>
          <w:szCs w:val="24"/>
          <w:shd w:val="clear" w:color="auto" w:fill="FFFFFF"/>
        </w:rPr>
        <w:t xml:space="preserve">, Heinemann Educational </w:t>
      </w:r>
      <w:r w:rsidRPr="00B116E6">
        <w:rPr>
          <w:rFonts w:ascii="Times New Roman" w:hAnsi="Times New Roman" w:cs="Times New Roman"/>
          <w:sz w:val="24"/>
          <w:szCs w:val="24"/>
          <w:shd w:val="clear" w:color="auto" w:fill="FFFFFF"/>
        </w:rPr>
        <w:t>Books,</w:t>
      </w:r>
      <w:r w:rsidRPr="00B116E6">
        <w:rPr>
          <w:rStyle w:val="apple-converted-space"/>
          <w:rFonts w:ascii="Times New Roman" w:hAnsi="Times New Roman" w:cs="Times New Roman"/>
          <w:sz w:val="24"/>
          <w:szCs w:val="24"/>
          <w:shd w:val="clear" w:color="auto" w:fill="FFFFFF"/>
        </w:rPr>
        <w:t xml:space="preserve"> Michigan, Sua, </w:t>
      </w:r>
      <w:r w:rsidRPr="00B116E6">
        <w:rPr>
          <w:rStyle w:val="Emphasis"/>
          <w:rFonts w:ascii="Times New Roman" w:hAnsi="Times New Roman" w:cs="Times New Roman"/>
          <w:bCs/>
          <w:i w:val="0"/>
          <w:iCs w:val="0"/>
          <w:sz w:val="24"/>
          <w:szCs w:val="24"/>
          <w:shd w:val="clear" w:color="auto" w:fill="FFFFFF"/>
        </w:rPr>
        <w:t>1973.</w:t>
      </w:r>
    </w:p>
    <w:p w:rsidR="00B116E6" w:rsidRPr="00B116E6" w:rsidRDefault="00B116E6" w:rsidP="00B116E6">
      <w:pPr>
        <w:pStyle w:val="FootnoteText"/>
        <w:numPr>
          <w:ilvl w:val="0"/>
          <w:numId w:val="4"/>
        </w:numPr>
        <w:spacing w:line="360" w:lineRule="auto"/>
        <w:jc w:val="both"/>
        <w:rPr>
          <w:rStyle w:val="Emphasis"/>
          <w:rFonts w:ascii="Times New Roman" w:hAnsi="Times New Roman" w:cs="Times New Roman"/>
          <w:bCs/>
          <w:i w:val="0"/>
          <w:iCs w:val="0"/>
          <w:sz w:val="24"/>
          <w:szCs w:val="24"/>
          <w:shd w:val="clear" w:color="auto" w:fill="FFFFFF"/>
        </w:rPr>
      </w:pPr>
      <w:r w:rsidRPr="00B116E6">
        <w:rPr>
          <w:rFonts w:ascii="Times New Roman" w:hAnsi="Times New Roman" w:cs="Times New Roman"/>
          <w:sz w:val="24"/>
          <w:szCs w:val="24"/>
          <w:lang w:val="ro-RO"/>
        </w:rPr>
        <w:t xml:space="preserve">Downs, A., </w:t>
      </w:r>
      <w:r w:rsidRPr="00B116E6">
        <w:rPr>
          <w:rFonts w:ascii="Times New Roman" w:hAnsi="Times New Roman" w:cs="Times New Roman"/>
          <w:i/>
          <w:iCs/>
          <w:sz w:val="24"/>
          <w:szCs w:val="24"/>
          <w:shd w:val="clear" w:color="auto" w:fill="FFFFFF"/>
        </w:rPr>
        <w:t>An Economic Theory of Democracy</w:t>
      </w:r>
      <w:r w:rsidRPr="00B116E6">
        <w:rPr>
          <w:rFonts w:ascii="Times New Roman" w:hAnsi="Times New Roman" w:cs="Times New Roman"/>
          <w:sz w:val="24"/>
          <w:szCs w:val="24"/>
          <w:shd w:val="clear" w:color="auto" w:fill="FFFFFF"/>
        </w:rPr>
        <w:t xml:space="preserve">, </w:t>
      </w:r>
      <w:hyperlink r:id="rId19" w:tooltip="New York City" w:history="1">
        <w:r w:rsidRPr="00B116E6">
          <w:rPr>
            <w:rStyle w:val="Hyperlink"/>
            <w:rFonts w:ascii="Times New Roman" w:hAnsi="Times New Roman" w:cs="Times New Roman"/>
            <w:color w:val="auto"/>
            <w:sz w:val="24"/>
            <w:szCs w:val="24"/>
            <w:u w:val="none"/>
            <w:shd w:val="clear" w:color="auto" w:fill="FFFFFF"/>
          </w:rPr>
          <w:t>New York</w:t>
        </w:r>
      </w:hyperlink>
      <w:r w:rsidRPr="00B116E6">
        <w:rPr>
          <w:rFonts w:ascii="Times New Roman" w:hAnsi="Times New Roman" w:cs="Times New Roman"/>
          <w:sz w:val="24"/>
          <w:szCs w:val="24"/>
          <w:shd w:val="clear" w:color="auto" w:fill="FFFFFF"/>
        </w:rPr>
        <w:t>:</w:t>
      </w:r>
      <w:r w:rsidRPr="00B116E6">
        <w:rPr>
          <w:rStyle w:val="apple-converted-space"/>
          <w:rFonts w:ascii="Times New Roman" w:hAnsi="Times New Roman" w:cs="Times New Roman"/>
          <w:sz w:val="24"/>
          <w:szCs w:val="24"/>
          <w:shd w:val="clear" w:color="auto" w:fill="FFFFFF"/>
        </w:rPr>
        <w:t> </w:t>
      </w:r>
      <w:hyperlink r:id="rId20" w:tooltip="Harper &amp; Brothers" w:history="1">
        <w:r w:rsidRPr="00B116E6">
          <w:rPr>
            <w:rStyle w:val="Hyperlink"/>
            <w:rFonts w:ascii="Times New Roman" w:hAnsi="Times New Roman" w:cs="Times New Roman"/>
            <w:color w:val="auto"/>
            <w:sz w:val="24"/>
            <w:szCs w:val="24"/>
            <w:u w:val="none"/>
            <w:shd w:val="clear" w:color="auto" w:fill="FFFFFF"/>
          </w:rPr>
          <w:t>Harper</w:t>
        </w:r>
      </w:hyperlink>
      <w:r w:rsidRPr="00B116E6">
        <w:rPr>
          <w:rFonts w:ascii="Times New Roman" w:hAnsi="Times New Roman" w:cs="Times New Roman"/>
          <w:sz w:val="24"/>
          <w:szCs w:val="24"/>
        </w:rPr>
        <w:t>, 1957.</w:t>
      </w:r>
    </w:p>
    <w:p w:rsidR="00E611C0" w:rsidRDefault="00E611C0"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E611C0">
        <w:rPr>
          <w:rFonts w:ascii="Times New Roman" w:hAnsi="Times New Roman" w:cs="Times New Roman"/>
          <w:sz w:val="24"/>
          <w:szCs w:val="24"/>
          <w:lang w:val="ro-RO"/>
        </w:rPr>
        <w:t xml:space="preserve">Hernandez, S., Rainey, H.,  </w:t>
      </w:r>
      <w:r w:rsidRPr="00E611C0">
        <w:rPr>
          <w:rFonts w:ascii="Times New Roman" w:eastAsia="Calibri" w:hAnsi="Times New Roman" w:cs="Times New Roman"/>
          <w:sz w:val="24"/>
          <w:szCs w:val="24"/>
        </w:rPr>
        <w:t xml:space="preserve">“Managing Successful Organizational Change in the Public Sector“, </w:t>
      </w:r>
      <w:r w:rsidRPr="00E611C0">
        <w:rPr>
          <w:rFonts w:ascii="Times New Roman" w:eastAsia="Calibri" w:hAnsi="Times New Roman" w:cs="Times New Roman"/>
          <w:i/>
          <w:sz w:val="24"/>
          <w:szCs w:val="24"/>
        </w:rPr>
        <w:t>Public Administration Review</w:t>
      </w:r>
      <w:r w:rsidRPr="00E611C0">
        <w:rPr>
          <w:rFonts w:ascii="Times New Roman" w:eastAsia="Calibri" w:hAnsi="Times New Roman" w:cs="Times New Roman"/>
          <w:sz w:val="24"/>
          <w:szCs w:val="24"/>
        </w:rPr>
        <w:t>, march – april 2006,  pp. 168-176.</w:t>
      </w:r>
    </w:p>
    <w:p w:rsidR="00E611C0" w:rsidRPr="007E17B2" w:rsidRDefault="00194F9C"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hyperlink r:id="rId21" w:history="1">
        <w:r w:rsidR="00F12608" w:rsidRPr="00E611C0">
          <w:rPr>
            <w:rStyle w:val="Hyperlink"/>
            <w:rFonts w:ascii="Times New Roman" w:hAnsi="Times New Roman" w:cs="Times New Roman"/>
            <w:color w:val="auto"/>
            <w:sz w:val="24"/>
            <w:szCs w:val="24"/>
            <w:u w:val="none"/>
            <w:lang w:val="it-IT"/>
          </w:rPr>
          <w:t>http://www.adevarul.ro/locale/vaslui/Deficit-personal-Primaria Vaslui_0_784121589.html#</w:t>
        </w:r>
      </w:hyperlink>
      <w:r w:rsidR="002B426B" w:rsidRPr="00E611C0">
        <w:rPr>
          <w:rFonts w:ascii="Times New Roman" w:hAnsi="Times New Roman" w:cs="Times New Roman"/>
          <w:sz w:val="24"/>
          <w:szCs w:val="24"/>
          <w:lang w:val="it-IT"/>
        </w:rPr>
        <w:t xml:space="preserve"> </w:t>
      </w:r>
    </w:p>
    <w:p w:rsidR="007E17B2" w:rsidRPr="007E17B2" w:rsidRDefault="007E17B2"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7E17B2">
        <w:rPr>
          <w:rFonts w:ascii="Times New Roman" w:hAnsi="Times New Roman" w:cs="Times New Roman"/>
          <w:sz w:val="24"/>
          <w:szCs w:val="24"/>
        </w:rPr>
        <w:t xml:space="preserve">Howlett, M., Ramesh, M., </w:t>
      </w:r>
      <w:r w:rsidRPr="007E17B2">
        <w:rPr>
          <w:rFonts w:ascii="Times New Roman" w:hAnsi="Times New Roman" w:cs="Times New Roman"/>
          <w:i/>
          <w:sz w:val="24"/>
          <w:szCs w:val="24"/>
        </w:rPr>
        <w:t>Studiul Politicilor Publice. Cicluri şi Subsisteme ale Politicilor Publice</w:t>
      </w:r>
      <w:r w:rsidRPr="007E17B2">
        <w:rPr>
          <w:rFonts w:ascii="Times New Roman" w:hAnsi="Times New Roman" w:cs="Times New Roman"/>
          <w:sz w:val="24"/>
          <w:szCs w:val="24"/>
        </w:rPr>
        <w:t>. Chişinău, Editura Epitaf, 2004.</w:t>
      </w:r>
    </w:p>
    <w:p w:rsidR="00E611C0" w:rsidRDefault="00885B89"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E611C0">
        <w:rPr>
          <w:rFonts w:ascii="Times New Roman" w:hAnsi="Times New Roman" w:cs="Times New Roman"/>
          <w:sz w:val="24"/>
          <w:szCs w:val="24"/>
        </w:rPr>
        <w:t xml:space="preserve">Kenis, Provan," Modes of Network Governance: Structure, Management, and Eff ectiveness", </w:t>
      </w:r>
      <w:r w:rsidRPr="00E611C0">
        <w:rPr>
          <w:rFonts w:ascii="Times New Roman" w:hAnsi="Times New Roman" w:cs="Times New Roman"/>
          <w:i/>
          <w:iCs/>
          <w:sz w:val="24"/>
          <w:szCs w:val="24"/>
        </w:rPr>
        <w:t xml:space="preserve">Journal of Public Administration Research and Th eory </w:t>
      </w:r>
      <w:r w:rsidRPr="00E611C0">
        <w:rPr>
          <w:rFonts w:ascii="Times New Roman" w:hAnsi="Times New Roman" w:cs="Times New Roman"/>
          <w:sz w:val="24"/>
          <w:szCs w:val="24"/>
        </w:rPr>
        <w:t>18(2), 2007, pp.229–52.</w:t>
      </w:r>
    </w:p>
    <w:p w:rsidR="00E611C0" w:rsidRDefault="00885B89"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E611C0">
        <w:rPr>
          <w:rFonts w:ascii="Times New Roman" w:hAnsi="Times New Roman" w:cs="Times New Roman"/>
          <w:sz w:val="24"/>
          <w:szCs w:val="24"/>
          <w:lang w:val="ro-RO"/>
        </w:rPr>
        <w:t xml:space="preserve">Miftode, </w:t>
      </w:r>
      <w:r w:rsidRPr="00E611C0">
        <w:rPr>
          <w:rFonts w:ascii="Times New Roman" w:hAnsi="Times New Roman" w:cs="Times New Roman"/>
          <w:i/>
          <w:sz w:val="24"/>
          <w:szCs w:val="24"/>
          <w:lang w:val="ro-RO"/>
        </w:rPr>
        <w:t>Tratat de metodologie sociologică</w:t>
      </w:r>
      <w:r w:rsidRPr="00E611C0">
        <w:rPr>
          <w:rFonts w:ascii="Times New Roman" w:hAnsi="Times New Roman" w:cs="Times New Roman"/>
          <w:sz w:val="24"/>
          <w:szCs w:val="24"/>
          <w:lang w:val="ro-RO"/>
        </w:rPr>
        <w:t>, Ed. Lumen, Iaşi, 2003, p. 256.</w:t>
      </w:r>
    </w:p>
    <w:p w:rsidR="00E611C0" w:rsidRPr="003E2893" w:rsidRDefault="00885B89"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E611C0">
        <w:rPr>
          <w:rFonts w:ascii="Times New Roman" w:hAnsi="Times New Roman" w:cs="Times New Roman"/>
          <w:sz w:val="24"/>
          <w:szCs w:val="24"/>
          <w:lang w:val="ro-RO"/>
        </w:rPr>
        <w:t>Romzek, B.,</w:t>
      </w:r>
      <w:r w:rsidR="00E611C0" w:rsidRPr="00E611C0">
        <w:rPr>
          <w:rFonts w:ascii="Times New Roman" w:hAnsi="Times New Roman" w:cs="Times New Roman"/>
          <w:sz w:val="24"/>
          <w:szCs w:val="24"/>
          <w:lang w:val="ro-RO"/>
        </w:rPr>
        <w:t xml:space="preserve"> </w:t>
      </w:r>
      <w:r w:rsidRPr="00E611C0">
        <w:rPr>
          <w:rFonts w:ascii="Times New Roman" w:hAnsi="Times New Roman" w:cs="Times New Roman"/>
          <w:sz w:val="24"/>
          <w:szCs w:val="24"/>
          <w:lang w:val="ro-RO"/>
        </w:rPr>
        <w:t xml:space="preserve">LeRoux, K., </w:t>
      </w:r>
      <w:r w:rsidRPr="00E611C0">
        <w:rPr>
          <w:rFonts w:ascii="Times New Roman" w:eastAsia="Calibri" w:hAnsi="Times New Roman" w:cs="Times New Roman"/>
          <w:sz w:val="24"/>
          <w:szCs w:val="24"/>
        </w:rPr>
        <w:t xml:space="preserve">“A Preliminary Theory of Informal Accountability among Network Organizational Actors“, </w:t>
      </w:r>
      <w:r w:rsidRPr="00E611C0">
        <w:rPr>
          <w:rFonts w:ascii="Times New Roman" w:eastAsia="Calibri" w:hAnsi="Times New Roman" w:cs="Times New Roman"/>
          <w:i/>
          <w:sz w:val="24"/>
          <w:szCs w:val="24"/>
        </w:rPr>
        <w:t xml:space="preserve">Public Administration Review, </w:t>
      </w:r>
      <w:r w:rsidRPr="00E611C0">
        <w:rPr>
          <w:rFonts w:ascii="Times New Roman" w:eastAsia="Calibri" w:hAnsi="Times New Roman" w:cs="Times New Roman"/>
          <w:sz w:val="24"/>
          <w:szCs w:val="24"/>
        </w:rPr>
        <w:t>vol. 72, iss 3, 2012, pp.442 -453.</w:t>
      </w:r>
    </w:p>
    <w:p w:rsidR="003E2893" w:rsidRPr="003E2893" w:rsidRDefault="003E2893"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3E2893">
        <w:rPr>
          <w:rFonts w:ascii="Times New Roman" w:hAnsi="Times New Roman" w:cs="Times New Roman"/>
          <w:sz w:val="24"/>
          <w:szCs w:val="24"/>
          <w:lang w:val="ro-RO"/>
        </w:rPr>
        <w:t xml:space="preserve">Savage, J., </w:t>
      </w:r>
      <w:r w:rsidRPr="003E2893">
        <w:rPr>
          <w:rFonts w:ascii="Times New Roman" w:hAnsi="Times New Roman" w:cs="Times New Roman"/>
          <w:i/>
          <w:sz w:val="24"/>
          <w:szCs w:val="24"/>
          <w:shd w:val="clear" w:color="auto" w:fill="FFFFFF"/>
        </w:rPr>
        <w:t>Foundations of Statistics</w:t>
      </w:r>
      <w:r w:rsidRPr="003E2893">
        <w:rPr>
          <w:rFonts w:ascii="Times New Roman" w:hAnsi="Times New Roman" w:cs="Times New Roman"/>
          <w:sz w:val="24"/>
          <w:szCs w:val="24"/>
          <w:shd w:val="clear" w:color="auto" w:fill="FFFFFF"/>
        </w:rPr>
        <w:t>, John Wiley and Sons,  New York,</w:t>
      </w:r>
      <w:r w:rsidRPr="003E2893">
        <w:rPr>
          <w:rStyle w:val="apple-converted-space"/>
          <w:rFonts w:ascii="Times New Roman" w:hAnsi="Times New Roman" w:cs="Times New Roman"/>
          <w:sz w:val="24"/>
          <w:szCs w:val="24"/>
          <w:shd w:val="clear" w:color="auto" w:fill="FFFFFF"/>
        </w:rPr>
        <w:t> </w:t>
      </w:r>
      <w:r w:rsidRPr="003E2893">
        <w:rPr>
          <w:rStyle w:val="Emphasis"/>
          <w:rFonts w:ascii="Times New Roman" w:hAnsi="Times New Roman" w:cs="Times New Roman"/>
          <w:bCs/>
          <w:i w:val="0"/>
          <w:iCs w:val="0"/>
          <w:sz w:val="24"/>
          <w:szCs w:val="24"/>
          <w:shd w:val="clear" w:color="auto" w:fill="FFFFFF"/>
        </w:rPr>
        <w:t>1954.</w:t>
      </w:r>
    </w:p>
    <w:p w:rsidR="00E611C0" w:rsidRPr="00C80E7A" w:rsidRDefault="00A745CE" w:rsidP="00E611C0">
      <w:pPr>
        <w:pStyle w:val="FootnoteText"/>
        <w:numPr>
          <w:ilvl w:val="0"/>
          <w:numId w:val="4"/>
        </w:numPr>
        <w:spacing w:line="360" w:lineRule="auto"/>
        <w:jc w:val="both"/>
        <w:rPr>
          <w:rStyle w:val="Emphasis"/>
          <w:rFonts w:ascii="Times New Roman" w:hAnsi="Times New Roman" w:cs="Times New Roman"/>
          <w:bCs/>
          <w:i w:val="0"/>
          <w:iCs w:val="0"/>
          <w:sz w:val="24"/>
          <w:szCs w:val="24"/>
          <w:shd w:val="clear" w:color="auto" w:fill="FFFFFF"/>
        </w:rPr>
      </w:pPr>
      <w:r w:rsidRPr="00E611C0">
        <w:rPr>
          <w:rFonts w:ascii="Times New Roman" w:eastAsia="Calibri" w:hAnsi="Times New Roman" w:cs="Times New Roman"/>
          <w:sz w:val="24"/>
          <w:szCs w:val="24"/>
          <w:lang w:val="ro-RO"/>
        </w:rPr>
        <w:t xml:space="preserve">Simon, H., Buchanan J., Tullock, </w:t>
      </w:r>
      <w:r w:rsidRPr="00E611C0">
        <w:rPr>
          <w:rFonts w:ascii="Times New Roman" w:hAnsi="Times New Roman" w:cs="Times New Roman"/>
          <w:i/>
          <w:sz w:val="24"/>
          <w:szCs w:val="24"/>
          <w:shd w:val="clear" w:color="auto" w:fill="FFFFFF"/>
        </w:rPr>
        <w:t>Individual Choice</w:t>
      </w:r>
      <w:r w:rsidRPr="00E611C0">
        <w:rPr>
          <w:rFonts w:ascii="Times New Roman" w:hAnsi="Times New Roman" w:cs="Times New Roman"/>
          <w:sz w:val="24"/>
          <w:szCs w:val="24"/>
          <w:shd w:val="clear" w:color="auto" w:fill="FFFFFF"/>
        </w:rPr>
        <w:t xml:space="preserve">, Chapel Hill, University of  North </w:t>
      </w:r>
      <w:r w:rsidRPr="00C80E7A">
        <w:rPr>
          <w:rFonts w:ascii="Times New Roman" w:hAnsi="Times New Roman" w:cs="Times New Roman"/>
          <w:sz w:val="24"/>
          <w:szCs w:val="24"/>
          <w:shd w:val="clear" w:color="auto" w:fill="FFFFFF"/>
        </w:rPr>
        <w:t>Carolina Press,</w:t>
      </w:r>
      <w:r w:rsidRPr="00C80E7A">
        <w:rPr>
          <w:rStyle w:val="apple-converted-space"/>
          <w:rFonts w:ascii="Times New Roman" w:hAnsi="Times New Roman" w:cs="Times New Roman"/>
          <w:sz w:val="24"/>
          <w:szCs w:val="24"/>
          <w:shd w:val="clear" w:color="auto" w:fill="FFFFFF"/>
        </w:rPr>
        <w:t> </w:t>
      </w:r>
      <w:r w:rsidRPr="00C80E7A">
        <w:rPr>
          <w:rStyle w:val="Emphasis"/>
          <w:rFonts w:ascii="Times New Roman" w:hAnsi="Times New Roman" w:cs="Times New Roman"/>
          <w:bCs/>
          <w:i w:val="0"/>
          <w:iCs w:val="0"/>
          <w:sz w:val="24"/>
          <w:szCs w:val="24"/>
          <w:shd w:val="clear" w:color="auto" w:fill="FFFFFF"/>
        </w:rPr>
        <w:t>1967.</w:t>
      </w:r>
    </w:p>
    <w:p w:rsidR="00C80E7A" w:rsidRPr="00C80E7A" w:rsidRDefault="00C80E7A"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C80E7A">
        <w:rPr>
          <w:rFonts w:ascii="Times New Roman" w:hAnsi="Times New Roman" w:cs="Times New Roman"/>
          <w:sz w:val="24"/>
          <w:szCs w:val="24"/>
          <w:lang w:val="ro-RO"/>
        </w:rPr>
        <w:t xml:space="preserve">Turner, J.C., </w:t>
      </w:r>
      <w:r w:rsidRPr="00C80E7A">
        <w:rPr>
          <w:rFonts w:ascii="Times New Roman" w:hAnsi="Times New Roman" w:cs="Times New Roman"/>
          <w:i/>
          <w:sz w:val="24"/>
          <w:szCs w:val="24"/>
          <w:lang w:val="ro-RO"/>
        </w:rPr>
        <w:t>Social Influence</w:t>
      </w:r>
      <w:r w:rsidRPr="00C80E7A">
        <w:rPr>
          <w:rFonts w:ascii="Times New Roman" w:hAnsi="Times New Roman" w:cs="Times New Roman"/>
          <w:sz w:val="24"/>
          <w:szCs w:val="24"/>
          <w:lang w:val="ro-RO"/>
        </w:rPr>
        <w:t xml:space="preserve">, </w:t>
      </w:r>
      <w:r w:rsidRPr="00C80E7A">
        <w:rPr>
          <w:rFonts w:ascii="Times New Roman" w:hAnsi="Times New Roman" w:cs="Times New Roman"/>
          <w:sz w:val="24"/>
          <w:szCs w:val="24"/>
          <w:shd w:val="clear" w:color="auto" w:fill="FFFFFF"/>
        </w:rPr>
        <w:t xml:space="preserve">Publisher: Cengage Learning; 1 edition, </w:t>
      </w:r>
      <w:r w:rsidRPr="00C80E7A">
        <w:rPr>
          <w:rStyle w:val="Emphasis"/>
          <w:rFonts w:ascii="Times New Roman" w:hAnsi="Times New Roman" w:cs="Times New Roman"/>
          <w:bCs/>
          <w:i w:val="0"/>
          <w:iCs w:val="0"/>
          <w:sz w:val="24"/>
          <w:szCs w:val="24"/>
          <w:shd w:val="clear" w:color="auto" w:fill="FFFFFF"/>
        </w:rPr>
        <w:t>1991</w:t>
      </w:r>
      <w:r w:rsidRPr="00C80E7A">
        <w:rPr>
          <w:rFonts w:ascii="Times New Roman" w:hAnsi="Times New Roman" w:cs="Times New Roman"/>
          <w:sz w:val="24"/>
          <w:szCs w:val="24"/>
          <w:shd w:val="clear" w:color="auto" w:fill="FFFFFF"/>
        </w:rPr>
        <w:t>.</w:t>
      </w:r>
    </w:p>
    <w:p w:rsidR="002B426B" w:rsidRPr="00E611C0" w:rsidRDefault="002B426B" w:rsidP="00E611C0">
      <w:pPr>
        <w:pStyle w:val="FootnoteText"/>
        <w:numPr>
          <w:ilvl w:val="0"/>
          <w:numId w:val="4"/>
        </w:numPr>
        <w:spacing w:line="360" w:lineRule="auto"/>
        <w:jc w:val="both"/>
        <w:rPr>
          <w:rFonts w:ascii="Times New Roman" w:hAnsi="Times New Roman" w:cs="Times New Roman"/>
          <w:bCs/>
          <w:sz w:val="24"/>
          <w:szCs w:val="24"/>
          <w:shd w:val="clear" w:color="auto" w:fill="FFFFFF"/>
        </w:rPr>
      </w:pPr>
      <w:r w:rsidRPr="00E611C0">
        <w:rPr>
          <w:rFonts w:ascii="Times New Roman" w:hAnsi="Times New Roman" w:cs="Times New Roman"/>
          <w:sz w:val="24"/>
          <w:szCs w:val="24"/>
        </w:rPr>
        <w:t xml:space="preserve">Warnjten, A., </w:t>
      </w:r>
      <w:r w:rsidRPr="00E611C0">
        <w:rPr>
          <w:rFonts w:ascii="Times New Roman" w:hAnsi="Times New Roman" w:cs="Times New Roman"/>
          <w:i/>
          <w:sz w:val="24"/>
          <w:szCs w:val="24"/>
        </w:rPr>
        <w:t xml:space="preserve">Between bargain and deliberation: decision-making in the Council of the European Union, </w:t>
      </w:r>
      <w:r w:rsidRPr="00E611C0">
        <w:rPr>
          <w:rFonts w:ascii="Times New Roman" w:hAnsi="Times New Roman" w:cs="Times New Roman"/>
          <w:sz w:val="24"/>
          <w:szCs w:val="24"/>
        </w:rPr>
        <w:t>“Journal of European Public Policy, 17:5, pp. 665-679.</w:t>
      </w:r>
    </w:p>
    <w:p w:rsidR="002B426B" w:rsidRPr="002B426B" w:rsidRDefault="002B426B" w:rsidP="002B426B">
      <w:pPr>
        <w:spacing w:after="0" w:line="360" w:lineRule="auto"/>
        <w:ind w:firstLine="720"/>
        <w:jc w:val="both"/>
        <w:rPr>
          <w:rFonts w:ascii="Times New Roman" w:hAnsi="Times New Roman" w:cs="Times New Roman"/>
          <w:sz w:val="24"/>
          <w:szCs w:val="24"/>
        </w:rPr>
      </w:pPr>
    </w:p>
    <w:p w:rsidR="002B426B" w:rsidRPr="00B7428D" w:rsidRDefault="002B426B" w:rsidP="00F0631B">
      <w:pPr>
        <w:spacing w:after="0" w:line="360" w:lineRule="auto"/>
        <w:ind w:firstLine="720"/>
        <w:jc w:val="both"/>
        <w:rPr>
          <w:rFonts w:ascii="Times New Roman" w:hAnsi="Times New Roman" w:cs="Times New Roman"/>
          <w:sz w:val="24"/>
          <w:szCs w:val="24"/>
        </w:rPr>
      </w:pPr>
    </w:p>
    <w:p w:rsidR="00E3679F" w:rsidRPr="00B7428D" w:rsidRDefault="00E3679F" w:rsidP="00F0631B">
      <w:pPr>
        <w:spacing w:after="0" w:line="360" w:lineRule="auto"/>
        <w:ind w:firstLine="720"/>
        <w:jc w:val="both"/>
        <w:rPr>
          <w:rFonts w:ascii="Times New Roman" w:hAnsi="Times New Roman" w:cs="Times New Roman"/>
          <w:sz w:val="24"/>
          <w:szCs w:val="24"/>
        </w:rPr>
      </w:pPr>
    </w:p>
    <w:sectPr w:rsidR="00E3679F" w:rsidRPr="00B7428D" w:rsidSect="00837FE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C1A" w:rsidRDefault="00DC4C1A" w:rsidP="00694778">
      <w:pPr>
        <w:spacing w:after="0" w:line="240" w:lineRule="auto"/>
      </w:pPr>
      <w:r>
        <w:separator/>
      </w:r>
    </w:p>
  </w:endnote>
  <w:endnote w:type="continuationSeparator" w:id="1">
    <w:p w:rsidR="00DC4C1A" w:rsidRDefault="00DC4C1A" w:rsidP="00694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C1A" w:rsidRDefault="00DC4C1A" w:rsidP="00694778">
      <w:pPr>
        <w:spacing w:after="0" w:line="240" w:lineRule="auto"/>
      </w:pPr>
      <w:r>
        <w:separator/>
      </w:r>
    </w:p>
  </w:footnote>
  <w:footnote w:type="continuationSeparator" w:id="1">
    <w:p w:rsidR="00DC4C1A" w:rsidRDefault="00DC4C1A" w:rsidP="00694778">
      <w:pPr>
        <w:spacing w:after="0" w:line="240" w:lineRule="auto"/>
      </w:pPr>
      <w:r>
        <w:continuationSeparator/>
      </w:r>
    </w:p>
  </w:footnote>
  <w:footnote w:id="2">
    <w:p w:rsidR="00694778" w:rsidRPr="007E17B2" w:rsidRDefault="00694778" w:rsidP="007E17B2">
      <w:pPr>
        <w:pStyle w:val="FootnoteText"/>
        <w:jc w:val="both"/>
        <w:rPr>
          <w:rFonts w:ascii="Times New Roman" w:hAnsi="Times New Roman" w:cs="Times New Roman"/>
          <w:b/>
          <w:lang w:val="ro-RO"/>
        </w:rPr>
      </w:pPr>
      <w:r w:rsidRPr="007E17B2">
        <w:rPr>
          <w:rStyle w:val="FootnoteReference"/>
          <w:rFonts w:ascii="Times New Roman" w:hAnsi="Times New Roman" w:cs="Times New Roman"/>
        </w:rPr>
        <w:footnoteRef/>
      </w:r>
      <w:r w:rsidR="00135909" w:rsidRPr="007E17B2">
        <w:rPr>
          <w:rFonts w:ascii="Times New Roman" w:hAnsi="Times New Roman" w:cs="Times New Roman"/>
        </w:rPr>
        <w:t xml:space="preserve"> Prof</w:t>
      </w:r>
      <w:r w:rsidRPr="007E17B2">
        <w:rPr>
          <w:rFonts w:ascii="Times New Roman" w:hAnsi="Times New Roman" w:cs="Times New Roman"/>
        </w:rPr>
        <w:t>.</w:t>
      </w:r>
      <w:r w:rsidR="00135909" w:rsidRPr="007E17B2">
        <w:rPr>
          <w:rFonts w:ascii="Times New Roman" w:hAnsi="Times New Roman" w:cs="Times New Roman"/>
        </w:rPr>
        <w:t xml:space="preserve"> </w:t>
      </w:r>
      <w:r w:rsidRPr="007E17B2">
        <w:rPr>
          <w:rFonts w:ascii="Times New Roman" w:hAnsi="Times New Roman" w:cs="Times New Roman"/>
        </w:rPr>
        <w:t>asoc. dr. la Universitatea "Alexandru Ioa"n Cuza" Iași, Facultatea de Filosofie și Științe Social Politice, Departamentul de Științe Politice, Relații Internaționale și Studii Europene, ticudorina@yahoo.com</w:t>
      </w:r>
    </w:p>
  </w:footnote>
  <w:footnote w:id="3">
    <w:p w:rsidR="00FA40C9" w:rsidRPr="007E17B2" w:rsidRDefault="00FA40C9" w:rsidP="007E17B2">
      <w:pPr>
        <w:pStyle w:val="FootnoteText"/>
        <w:jc w:val="both"/>
        <w:rPr>
          <w:rFonts w:ascii="Times New Roman" w:hAnsi="Times New Roman" w:cs="Times New Roman"/>
          <w:lang w:val="ro-RO"/>
        </w:rPr>
      </w:pPr>
      <w:r w:rsidRPr="007E17B2">
        <w:rPr>
          <w:rStyle w:val="FootnoteReference"/>
          <w:rFonts w:ascii="Times New Roman" w:hAnsi="Times New Roman" w:cs="Times New Roman"/>
        </w:rPr>
        <w:footnoteRef/>
      </w:r>
      <w:r w:rsidRPr="007E17B2">
        <w:rPr>
          <w:rFonts w:ascii="Times New Roman" w:hAnsi="Times New Roman" w:cs="Times New Roman"/>
        </w:rPr>
        <w:t xml:space="preserve"> </w:t>
      </w:r>
      <w:r w:rsidR="007E17B2" w:rsidRPr="007E17B2">
        <w:rPr>
          <w:rFonts w:ascii="Times New Roman" w:hAnsi="Times New Roman" w:cs="Times New Roman"/>
        </w:rPr>
        <w:t xml:space="preserve">Howlett, M. &amp; Ramesh, M. 2004. </w:t>
      </w:r>
      <w:r w:rsidR="007E17B2" w:rsidRPr="007E17B2">
        <w:rPr>
          <w:rFonts w:ascii="Times New Roman" w:hAnsi="Times New Roman" w:cs="Times New Roman"/>
          <w:i/>
        </w:rPr>
        <w:t>Studiul Politicilor Publice. Cicluri şi Subsisteme ale Politicilor Publice</w:t>
      </w:r>
      <w:r w:rsidR="007E17B2" w:rsidRPr="007E17B2">
        <w:rPr>
          <w:rFonts w:ascii="Times New Roman" w:hAnsi="Times New Roman" w:cs="Times New Roman"/>
        </w:rPr>
        <w:t>. Chişinău, Editura Epitaf</w:t>
      </w:r>
      <w:r w:rsidR="007E17B2">
        <w:rPr>
          <w:rFonts w:ascii="Times New Roman" w:hAnsi="Times New Roman" w:cs="Times New Roman"/>
        </w:rPr>
        <w:t>, p. 29</w:t>
      </w:r>
      <w:r w:rsidR="007E17B2" w:rsidRPr="007E17B2">
        <w:rPr>
          <w:rFonts w:ascii="Times New Roman" w:hAnsi="Times New Roman" w:cs="Times New Roman"/>
        </w:rPr>
        <w:t>.</w:t>
      </w:r>
    </w:p>
  </w:footnote>
  <w:footnote w:id="4">
    <w:p w:rsidR="00135909" w:rsidRPr="00FC2C49" w:rsidRDefault="00135909" w:rsidP="007E17B2">
      <w:pPr>
        <w:pStyle w:val="FootnoteText"/>
        <w:jc w:val="both"/>
        <w:rPr>
          <w:rFonts w:ascii="Times New Roman" w:hAnsi="Times New Roman" w:cs="Times New Roman"/>
          <w:lang w:val="ro-RO"/>
        </w:rPr>
      </w:pPr>
      <w:r w:rsidRPr="007E17B2">
        <w:rPr>
          <w:rStyle w:val="FootnoteReference"/>
          <w:rFonts w:ascii="Times New Roman" w:hAnsi="Times New Roman" w:cs="Times New Roman"/>
        </w:rPr>
        <w:footnoteRef/>
      </w:r>
      <w:r w:rsidRPr="007E17B2">
        <w:rPr>
          <w:rFonts w:ascii="Times New Roman" w:hAnsi="Times New Roman" w:cs="Times New Roman"/>
        </w:rPr>
        <w:t xml:space="preserve"> </w:t>
      </w:r>
      <w:r w:rsidRPr="007E17B2">
        <w:rPr>
          <w:rFonts w:ascii="Times New Roman" w:hAnsi="Times New Roman" w:cs="Times New Roman"/>
          <w:lang w:val="ro-RO"/>
        </w:rPr>
        <w:t xml:space="preserve">S. Hernandez, H. Rainey, </w:t>
      </w:r>
      <w:r w:rsidRPr="007E17B2">
        <w:rPr>
          <w:rFonts w:ascii="Times New Roman" w:eastAsia="Calibri" w:hAnsi="Times New Roman" w:cs="Times New Roman"/>
        </w:rPr>
        <w:t xml:space="preserve">“Managing Successful Organizational Change in the Public Sector“, </w:t>
      </w:r>
      <w:r w:rsidRPr="007E17B2">
        <w:rPr>
          <w:rFonts w:ascii="Times New Roman" w:eastAsia="Calibri" w:hAnsi="Times New Roman" w:cs="Times New Roman"/>
          <w:i/>
        </w:rPr>
        <w:t>Public Administration Review</w:t>
      </w:r>
      <w:r w:rsidRPr="007E17B2">
        <w:rPr>
          <w:rFonts w:ascii="Times New Roman" w:eastAsia="Calibri" w:hAnsi="Times New Roman" w:cs="Times New Roman"/>
        </w:rPr>
        <w:t>, march – april 2006, pp.168-176.</w:t>
      </w:r>
    </w:p>
  </w:footnote>
  <w:footnote w:id="5">
    <w:p w:rsidR="00260443" w:rsidRPr="00885B89" w:rsidRDefault="00260443" w:rsidP="00885B89">
      <w:pPr>
        <w:autoSpaceDE w:val="0"/>
        <w:autoSpaceDN w:val="0"/>
        <w:adjustRightInd w:val="0"/>
        <w:spacing w:after="0" w:line="240" w:lineRule="auto"/>
        <w:jc w:val="both"/>
        <w:rPr>
          <w:rFonts w:ascii="Times New Roman" w:hAnsi="Times New Roman" w:cs="Times New Roman"/>
          <w:sz w:val="20"/>
          <w:szCs w:val="20"/>
        </w:rPr>
      </w:pPr>
      <w:r w:rsidRPr="00885B89">
        <w:rPr>
          <w:rStyle w:val="FootnoteReference"/>
          <w:rFonts w:ascii="Times New Roman" w:hAnsi="Times New Roman" w:cs="Times New Roman"/>
          <w:sz w:val="20"/>
          <w:szCs w:val="20"/>
        </w:rPr>
        <w:footnoteRef/>
      </w:r>
      <w:r w:rsidRPr="00885B89">
        <w:rPr>
          <w:rFonts w:ascii="Times New Roman" w:hAnsi="Times New Roman" w:cs="Times New Roman"/>
          <w:sz w:val="20"/>
          <w:szCs w:val="20"/>
        </w:rPr>
        <w:t xml:space="preserve"> </w:t>
      </w:r>
      <w:r w:rsidR="00885B89" w:rsidRPr="00885B89">
        <w:rPr>
          <w:rFonts w:ascii="Times New Roman" w:hAnsi="Times New Roman" w:cs="Times New Roman"/>
          <w:sz w:val="20"/>
          <w:szCs w:val="20"/>
        </w:rPr>
        <w:t xml:space="preserve">Kenis și Provan," Modes of Network Governance: Structure, Management, and Eff ectiveness", </w:t>
      </w:r>
      <w:r w:rsidR="00885B89" w:rsidRPr="00885B89">
        <w:rPr>
          <w:rFonts w:ascii="Times New Roman" w:hAnsi="Times New Roman" w:cs="Times New Roman"/>
          <w:i/>
          <w:iCs/>
          <w:sz w:val="20"/>
          <w:szCs w:val="20"/>
        </w:rPr>
        <w:t xml:space="preserve">Journal of Public Administration Research and Th eory </w:t>
      </w:r>
      <w:r w:rsidR="00885B89" w:rsidRPr="00885B89">
        <w:rPr>
          <w:rFonts w:ascii="Times New Roman" w:hAnsi="Times New Roman" w:cs="Times New Roman"/>
          <w:sz w:val="20"/>
          <w:szCs w:val="20"/>
        </w:rPr>
        <w:t>18(2), 2007, pp.229–52.</w:t>
      </w:r>
    </w:p>
  </w:footnote>
  <w:footnote w:id="6">
    <w:p w:rsidR="00885B89" w:rsidRPr="00885B89" w:rsidRDefault="00885B89" w:rsidP="00885B89">
      <w:pPr>
        <w:pStyle w:val="FootnoteText"/>
        <w:jc w:val="both"/>
        <w:rPr>
          <w:lang w:val="ro-RO"/>
        </w:rPr>
      </w:pPr>
      <w:r w:rsidRPr="00885B89">
        <w:rPr>
          <w:rStyle w:val="FootnoteReference"/>
          <w:rFonts w:ascii="Times New Roman" w:hAnsi="Times New Roman" w:cs="Times New Roman"/>
        </w:rPr>
        <w:footnoteRef/>
      </w:r>
      <w:r w:rsidRPr="00885B89">
        <w:rPr>
          <w:rFonts w:ascii="Times New Roman" w:hAnsi="Times New Roman" w:cs="Times New Roman"/>
        </w:rPr>
        <w:t xml:space="preserve"> </w:t>
      </w:r>
      <w:r w:rsidRPr="00885B89">
        <w:rPr>
          <w:rFonts w:ascii="Times New Roman" w:hAnsi="Times New Roman" w:cs="Times New Roman"/>
          <w:lang w:val="ro-RO"/>
        </w:rPr>
        <w:t xml:space="preserve">B. Romzek, K. LeRoux, </w:t>
      </w:r>
      <w:r w:rsidRPr="00885B89">
        <w:rPr>
          <w:rFonts w:ascii="Times New Roman" w:eastAsia="Calibri" w:hAnsi="Times New Roman" w:cs="Times New Roman"/>
        </w:rPr>
        <w:t xml:space="preserve">“A Preliminary Theory of Informal Accountability among Network Organizational Actors“, </w:t>
      </w:r>
      <w:r w:rsidRPr="00885B89">
        <w:rPr>
          <w:rFonts w:ascii="Times New Roman" w:eastAsia="Calibri" w:hAnsi="Times New Roman" w:cs="Times New Roman"/>
          <w:i/>
        </w:rPr>
        <w:t xml:space="preserve">Public Administration Review, </w:t>
      </w:r>
      <w:r w:rsidRPr="00885B89">
        <w:rPr>
          <w:rFonts w:ascii="Times New Roman" w:eastAsia="Calibri" w:hAnsi="Times New Roman" w:cs="Times New Roman"/>
        </w:rPr>
        <w:t>vol. 72, iss 3, 2012, pp.442 -453.</w:t>
      </w:r>
    </w:p>
  </w:footnote>
  <w:footnote w:id="7">
    <w:p w:rsidR="002B426B" w:rsidRPr="002B426B" w:rsidRDefault="002B426B" w:rsidP="005733B9">
      <w:pPr>
        <w:pStyle w:val="FootnoteText"/>
        <w:jc w:val="both"/>
        <w:rPr>
          <w:rFonts w:ascii="Times New Roman" w:eastAsia="Calibri" w:hAnsi="Times New Roman" w:cs="Times New Roman"/>
        </w:rPr>
      </w:pPr>
      <w:r w:rsidRPr="002B426B">
        <w:rPr>
          <w:rStyle w:val="FootnoteReference"/>
          <w:rFonts w:ascii="Times New Roman" w:eastAsia="Calibri" w:hAnsi="Times New Roman" w:cs="Times New Roman"/>
        </w:rPr>
        <w:footnoteRef/>
      </w:r>
      <w:r w:rsidRPr="002B426B">
        <w:rPr>
          <w:rFonts w:ascii="Times New Roman" w:eastAsia="Calibri" w:hAnsi="Times New Roman" w:cs="Times New Roman"/>
        </w:rPr>
        <w:t xml:space="preserve"> Andreas Warnjten, </w:t>
      </w:r>
      <w:r w:rsidRPr="002B426B">
        <w:rPr>
          <w:rFonts w:ascii="Times New Roman" w:eastAsia="Calibri" w:hAnsi="Times New Roman" w:cs="Times New Roman"/>
          <w:i/>
        </w:rPr>
        <w:t xml:space="preserve">Between bargain and deliberation: decision-making in the Council of the European Union, </w:t>
      </w:r>
      <w:r w:rsidRPr="002B426B">
        <w:rPr>
          <w:rFonts w:ascii="Times New Roman" w:eastAsia="Calibri" w:hAnsi="Times New Roman" w:cs="Times New Roman"/>
        </w:rPr>
        <w:t>“Journal of European Public Policy</w:t>
      </w:r>
      <w:r w:rsidR="00135909" w:rsidRPr="002B426B">
        <w:rPr>
          <w:rFonts w:ascii="Times New Roman" w:eastAsia="Calibri" w:hAnsi="Times New Roman" w:cs="Times New Roman"/>
        </w:rPr>
        <w:t>“</w:t>
      </w:r>
      <w:r w:rsidRPr="002B426B">
        <w:rPr>
          <w:rFonts w:ascii="Times New Roman" w:eastAsia="Calibri" w:hAnsi="Times New Roman" w:cs="Times New Roman"/>
        </w:rPr>
        <w:t>, 17:5, pp. 665-679.</w:t>
      </w:r>
    </w:p>
  </w:footnote>
  <w:footnote w:id="8">
    <w:p w:rsidR="004D4F87" w:rsidRPr="003E2893" w:rsidRDefault="004D4F87" w:rsidP="005733B9">
      <w:pPr>
        <w:pStyle w:val="FootnoteText"/>
        <w:jc w:val="both"/>
        <w:rPr>
          <w:rFonts w:ascii="Times New Roman" w:hAnsi="Times New Roman" w:cs="Times New Roman"/>
          <w:lang w:val="ro-RO"/>
        </w:rPr>
      </w:pPr>
      <w:r w:rsidRPr="003E2893">
        <w:rPr>
          <w:rStyle w:val="FootnoteReference"/>
          <w:rFonts w:ascii="Times New Roman" w:hAnsi="Times New Roman" w:cs="Times New Roman"/>
        </w:rPr>
        <w:footnoteRef/>
      </w:r>
      <w:r w:rsidRPr="003E2893">
        <w:rPr>
          <w:rFonts w:ascii="Times New Roman" w:hAnsi="Times New Roman" w:cs="Times New Roman"/>
        </w:rPr>
        <w:t xml:space="preserve"> </w:t>
      </w:r>
      <w:r w:rsidR="003E2893" w:rsidRPr="003E2893">
        <w:rPr>
          <w:rFonts w:ascii="Times New Roman" w:hAnsi="Times New Roman" w:cs="Times New Roman"/>
          <w:lang w:val="ro-RO"/>
        </w:rPr>
        <w:t xml:space="preserve">J. Savage, </w:t>
      </w:r>
      <w:r w:rsidR="003E2893" w:rsidRPr="003E2893">
        <w:rPr>
          <w:rFonts w:ascii="Times New Roman" w:hAnsi="Times New Roman" w:cs="Times New Roman"/>
          <w:i/>
          <w:shd w:val="clear" w:color="auto" w:fill="FFFFFF"/>
        </w:rPr>
        <w:t>Foundations of Statistics</w:t>
      </w:r>
      <w:r w:rsidR="003E2893" w:rsidRPr="003E2893">
        <w:rPr>
          <w:rFonts w:ascii="Times New Roman" w:hAnsi="Times New Roman" w:cs="Times New Roman"/>
          <w:shd w:val="clear" w:color="auto" w:fill="FFFFFF"/>
        </w:rPr>
        <w:t>, John Wiley and Sons, New York,</w:t>
      </w:r>
      <w:r w:rsidR="003E2893" w:rsidRPr="003E2893">
        <w:rPr>
          <w:rStyle w:val="apple-converted-space"/>
          <w:rFonts w:ascii="Times New Roman" w:hAnsi="Times New Roman" w:cs="Times New Roman"/>
          <w:shd w:val="clear" w:color="auto" w:fill="FFFFFF"/>
        </w:rPr>
        <w:t> </w:t>
      </w:r>
      <w:r w:rsidR="003E2893" w:rsidRPr="003E2893">
        <w:rPr>
          <w:rStyle w:val="Emphasis"/>
          <w:rFonts w:ascii="Times New Roman" w:hAnsi="Times New Roman" w:cs="Times New Roman"/>
          <w:bCs/>
          <w:i w:val="0"/>
          <w:iCs w:val="0"/>
          <w:shd w:val="clear" w:color="auto" w:fill="FFFFFF"/>
        </w:rPr>
        <w:t>1954.</w:t>
      </w:r>
    </w:p>
  </w:footnote>
  <w:footnote w:id="9">
    <w:p w:rsidR="00B116E6" w:rsidRPr="00B116E6" w:rsidRDefault="00B116E6" w:rsidP="005733B9">
      <w:pPr>
        <w:pStyle w:val="FootnoteText"/>
        <w:jc w:val="both"/>
        <w:rPr>
          <w:rFonts w:ascii="Times New Roman" w:hAnsi="Times New Roman" w:cs="Times New Roman"/>
          <w:lang w:val="ro-RO"/>
        </w:rPr>
      </w:pPr>
      <w:r w:rsidRPr="00B116E6">
        <w:rPr>
          <w:rStyle w:val="FootnoteReference"/>
          <w:rFonts w:ascii="Times New Roman" w:hAnsi="Times New Roman" w:cs="Times New Roman"/>
        </w:rPr>
        <w:footnoteRef/>
      </w:r>
      <w:r w:rsidRPr="00B116E6">
        <w:rPr>
          <w:rFonts w:ascii="Times New Roman" w:hAnsi="Times New Roman" w:cs="Times New Roman"/>
        </w:rPr>
        <w:t xml:space="preserve"> </w:t>
      </w:r>
      <w:r w:rsidRPr="00B116E6">
        <w:rPr>
          <w:rFonts w:ascii="Times New Roman" w:hAnsi="Times New Roman" w:cs="Times New Roman"/>
          <w:lang w:val="ro-RO"/>
        </w:rPr>
        <w:t xml:space="preserve">A.Downs, </w:t>
      </w:r>
      <w:r w:rsidRPr="00B116E6">
        <w:rPr>
          <w:rFonts w:ascii="Times New Roman" w:hAnsi="Times New Roman" w:cs="Times New Roman"/>
          <w:i/>
          <w:iCs/>
          <w:shd w:val="clear" w:color="auto" w:fill="FFFFFF"/>
        </w:rPr>
        <w:t>An Economic Theory of Democracy</w:t>
      </w:r>
      <w:r w:rsidRPr="00B116E6">
        <w:rPr>
          <w:rFonts w:ascii="Times New Roman" w:hAnsi="Times New Roman" w:cs="Times New Roman"/>
          <w:shd w:val="clear" w:color="auto" w:fill="FFFFFF"/>
        </w:rPr>
        <w:t xml:space="preserve">, </w:t>
      </w:r>
      <w:hyperlink r:id="rId1" w:tooltip="New York City" w:history="1">
        <w:r w:rsidRPr="00B116E6">
          <w:rPr>
            <w:rStyle w:val="Hyperlink"/>
            <w:rFonts w:ascii="Times New Roman" w:hAnsi="Times New Roman" w:cs="Times New Roman"/>
            <w:color w:val="auto"/>
            <w:u w:val="none"/>
            <w:shd w:val="clear" w:color="auto" w:fill="FFFFFF"/>
          </w:rPr>
          <w:t>New York</w:t>
        </w:r>
      </w:hyperlink>
      <w:r w:rsidRPr="00B116E6">
        <w:rPr>
          <w:rFonts w:ascii="Times New Roman" w:hAnsi="Times New Roman" w:cs="Times New Roman"/>
          <w:shd w:val="clear" w:color="auto" w:fill="FFFFFF"/>
        </w:rPr>
        <w:t>:</w:t>
      </w:r>
      <w:r w:rsidRPr="00B116E6">
        <w:rPr>
          <w:rStyle w:val="apple-converted-space"/>
          <w:rFonts w:ascii="Times New Roman" w:hAnsi="Times New Roman" w:cs="Times New Roman"/>
          <w:shd w:val="clear" w:color="auto" w:fill="FFFFFF"/>
        </w:rPr>
        <w:t> </w:t>
      </w:r>
      <w:hyperlink r:id="rId2" w:tooltip="Harper &amp; Brothers" w:history="1">
        <w:r w:rsidRPr="00B116E6">
          <w:rPr>
            <w:rStyle w:val="Hyperlink"/>
            <w:rFonts w:ascii="Times New Roman" w:hAnsi="Times New Roman" w:cs="Times New Roman"/>
            <w:color w:val="auto"/>
            <w:u w:val="none"/>
            <w:shd w:val="clear" w:color="auto" w:fill="FFFFFF"/>
          </w:rPr>
          <w:t>Harper</w:t>
        </w:r>
      </w:hyperlink>
      <w:r w:rsidRPr="00B116E6">
        <w:rPr>
          <w:rFonts w:ascii="Times New Roman" w:hAnsi="Times New Roman" w:cs="Times New Roman"/>
        </w:rPr>
        <w:t>, 1957.</w:t>
      </w:r>
    </w:p>
  </w:footnote>
  <w:footnote w:id="10">
    <w:p w:rsidR="0037445F" w:rsidRPr="0037445F" w:rsidRDefault="0037445F" w:rsidP="005733B9">
      <w:pPr>
        <w:pStyle w:val="FootnoteText"/>
        <w:jc w:val="both"/>
        <w:rPr>
          <w:rFonts w:ascii="Times New Roman" w:hAnsi="Times New Roman" w:cs="Times New Roman"/>
          <w:lang w:val="ro-RO"/>
        </w:rPr>
      </w:pPr>
      <w:r w:rsidRPr="0037445F">
        <w:rPr>
          <w:rStyle w:val="FootnoteReference"/>
          <w:rFonts w:ascii="Times New Roman" w:hAnsi="Times New Roman" w:cs="Times New Roman"/>
        </w:rPr>
        <w:footnoteRef/>
      </w:r>
      <w:r w:rsidRPr="0037445F">
        <w:rPr>
          <w:rFonts w:ascii="Times New Roman" w:hAnsi="Times New Roman" w:cs="Times New Roman"/>
        </w:rPr>
        <w:t xml:space="preserve"> </w:t>
      </w:r>
      <w:r w:rsidRPr="0037445F">
        <w:rPr>
          <w:rFonts w:ascii="Times New Roman" w:eastAsia="Calibri" w:hAnsi="Times New Roman" w:cs="Times New Roman"/>
          <w:lang w:val="ro-RO"/>
        </w:rPr>
        <w:t xml:space="preserve">Simon, Buchanan şi Tullock, </w:t>
      </w:r>
      <w:r w:rsidRPr="0037445F">
        <w:rPr>
          <w:rFonts w:ascii="Times New Roman" w:hAnsi="Times New Roman" w:cs="Times New Roman"/>
          <w:i/>
          <w:shd w:val="clear" w:color="auto" w:fill="FFFFFF"/>
        </w:rPr>
        <w:t>Individual Choice</w:t>
      </w:r>
      <w:r w:rsidRPr="0037445F">
        <w:rPr>
          <w:rFonts w:ascii="Times New Roman" w:hAnsi="Times New Roman" w:cs="Times New Roman"/>
          <w:shd w:val="clear" w:color="auto" w:fill="FFFFFF"/>
        </w:rPr>
        <w:t>, Chapel Hill, University of  North Carolina Press,</w:t>
      </w:r>
      <w:r w:rsidRPr="0037445F">
        <w:rPr>
          <w:rStyle w:val="apple-converted-space"/>
          <w:rFonts w:ascii="Times New Roman" w:hAnsi="Times New Roman" w:cs="Times New Roman"/>
          <w:shd w:val="clear" w:color="auto" w:fill="FFFFFF"/>
        </w:rPr>
        <w:t> </w:t>
      </w:r>
      <w:r w:rsidRPr="0037445F">
        <w:rPr>
          <w:rStyle w:val="Emphasis"/>
          <w:rFonts w:ascii="Times New Roman" w:hAnsi="Times New Roman" w:cs="Times New Roman"/>
          <w:bCs/>
          <w:i w:val="0"/>
          <w:iCs w:val="0"/>
          <w:shd w:val="clear" w:color="auto" w:fill="FFFFFF"/>
        </w:rPr>
        <w:t>1967.</w:t>
      </w:r>
    </w:p>
  </w:footnote>
  <w:footnote w:id="11">
    <w:p w:rsidR="00F82707" w:rsidRPr="00F82707" w:rsidRDefault="00F82707" w:rsidP="005733B9">
      <w:pPr>
        <w:pStyle w:val="FootnoteText"/>
        <w:jc w:val="both"/>
        <w:rPr>
          <w:rFonts w:ascii="Times New Roman" w:hAnsi="Times New Roman" w:cs="Times New Roman"/>
          <w:lang w:val="ro-RO"/>
        </w:rPr>
      </w:pPr>
      <w:r w:rsidRPr="00F82707">
        <w:rPr>
          <w:rStyle w:val="FootnoteReference"/>
          <w:rFonts w:ascii="Times New Roman" w:hAnsi="Times New Roman" w:cs="Times New Roman"/>
        </w:rPr>
        <w:footnoteRef/>
      </w:r>
      <w:r w:rsidRPr="00F82707">
        <w:rPr>
          <w:rFonts w:ascii="Times New Roman" w:hAnsi="Times New Roman" w:cs="Times New Roman"/>
        </w:rPr>
        <w:t xml:space="preserve"> </w:t>
      </w:r>
      <w:r w:rsidRPr="00F82707">
        <w:rPr>
          <w:rFonts w:ascii="Times New Roman" w:eastAsia="Calibri" w:hAnsi="Times New Roman" w:cs="Times New Roman"/>
          <w:lang w:val="ro-RO"/>
        </w:rPr>
        <w:t xml:space="preserve">J.S. Coleman, </w:t>
      </w:r>
      <w:r w:rsidRPr="00A745CE">
        <w:rPr>
          <w:rFonts w:ascii="Times New Roman" w:hAnsi="Times New Roman" w:cs="Times New Roman"/>
          <w:i/>
          <w:shd w:val="clear" w:color="auto" w:fill="FFFFFF"/>
        </w:rPr>
        <w:t>Mathematics of Collective Action</w:t>
      </w:r>
      <w:r w:rsidRPr="00F82707">
        <w:rPr>
          <w:rFonts w:ascii="Times New Roman" w:hAnsi="Times New Roman" w:cs="Times New Roman"/>
          <w:shd w:val="clear" w:color="auto" w:fill="FFFFFF"/>
        </w:rPr>
        <w:t>, Heinemann Educational Books,</w:t>
      </w:r>
      <w:r w:rsidRPr="00F82707">
        <w:rPr>
          <w:rStyle w:val="apple-converted-space"/>
          <w:rFonts w:ascii="Times New Roman" w:hAnsi="Times New Roman" w:cs="Times New Roman"/>
          <w:shd w:val="clear" w:color="auto" w:fill="FFFFFF"/>
        </w:rPr>
        <w:t xml:space="preserve"> Michigan, Sua, </w:t>
      </w:r>
      <w:r w:rsidRPr="00F82707">
        <w:rPr>
          <w:rStyle w:val="Emphasis"/>
          <w:rFonts w:ascii="Times New Roman" w:hAnsi="Times New Roman" w:cs="Times New Roman"/>
          <w:bCs/>
          <w:i w:val="0"/>
          <w:iCs w:val="0"/>
          <w:shd w:val="clear" w:color="auto" w:fill="FFFFFF"/>
        </w:rPr>
        <w:t>1973.</w:t>
      </w:r>
    </w:p>
  </w:footnote>
  <w:footnote w:id="12">
    <w:p w:rsidR="00C80E7A" w:rsidRPr="00C80E7A" w:rsidRDefault="00C80E7A" w:rsidP="005733B9">
      <w:pPr>
        <w:pStyle w:val="FootnoteText"/>
        <w:jc w:val="both"/>
        <w:rPr>
          <w:rFonts w:ascii="Times New Roman" w:hAnsi="Times New Roman" w:cs="Times New Roman"/>
          <w:lang w:val="ro-RO"/>
        </w:rPr>
      </w:pPr>
      <w:r w:rsidRPr="00C80E7A">
        <w:rPr>
          <w:rStyle w:val="FootnoteReference"/>
          <w:rFonts w:ascii="Times New Roman" w:hAnsi="Times New Roman" w:cs="Times New Roman"/>
        </w:rPr>
        <w:footnoteRef/>
      </w:r>
      <w:r w:rsidRPr="00C80E7A">
        <w:rPr>
          <w:rFonts w:ascii="Times New Roman" w:hAnsi="Times New Roman" w:cs="Times New Roman"/>
        </w:rPr>
        <w:t xml:space="preserve"> </w:t>
      </w:r>
      <w:r w:rsidRPr="00C80E7A">
        <w:rPr>
          <w:rFonts w:ascii="Times New Roman" w:hAnsi="Times New Roman" w:cs="Times New Roman"/>
          <w:lang w:val="ro-RO"/>
        </w:rPr>
        <w:t xml:space="preserve">Turner, </w:t>
      </w:r>
      <w:r w:rsidRPr="00C80E7A">
        <w:rPr>
          <w:rFonts w:ascii="Times New Roman" w:hAnsi="Times New Roman" w:cs="Times New Roman"/>
          <w:i/>
          <w:lang w:val="ro-RO"/>
        </w:rPr>
        <w:t>Social Influence</w:t>
      </w:r>
      <w:r w:rsidRPr="00C80E7A">
        <w:rPr>
          <w:rFonts w:ascii="Times New Roman" w:hAnsi="Times New Roman" w:cs="Times New Roman"/>
          <w:lang w:val="ro-RO"/>
        </w:rPr>
        <w:t xml:space="preserve">, </w:t>
      </w:r>
      <w:r w:rsidRPr="00C80E7A">
        <w:rPr>
          <w:rFonts w:ascii="Times New Roman" w:hAnsi="Times New Roman" w:cs="Times New Roman"/>
          <w:shd w:val="clear" w:color="auto" w:fill="FFFFFF"/>
        </w:rPr>
        <w:t xml:space="preserve">Publisher: Cengage Learning; 1 edition, </w:t>
      </w:r>
      <w:r w:rsidRPr="00C80E7A">
        <w:rPr>
          <w:rStyle w:val="Emphasis"/>
          <w:rFonts w:ascii="Times New Roman" w:hAnsi="Times New Roman" w:cs="Times New Roman"/>
          <w:bCs/>
          <w:i w:val="0"/>
          <w:iCs w:val="0"/>
          <w:shd w:val="clear" w:color="auto" w:fill="FFFFFF"/>
        </w:rPr>
        <w:t>1991</w:t>
      </w:r>
      <w:r w:rsidRPr="00C80E7A">
        <w:rPr>
          <w:rFonts w:ascii="Times New Roman" w:hAnsi="Times New Roman" w:cs="Times New Roman"/>
          <w:shd w:val="clear" w:color="auto" w:fill="FFFFFF"/>
        </w:rPr>
        <w:t>.</w:t>
      </w:r>
    </w:p>
  </w:footnote>
  <w:footnote w:id="13">
    <w:p w:rsidR="00694778" w:rsidRPr="0093053B" w:rsidRDefault="00694778" w:rsidP="005733B9">
      <w:pPr>
        <w:spacing w:after="0"/>
        <w:jc w:val="both"/>
        <w:rPr>
          <w:rFonts w:ascii="Times New Roman" w:hAnsi="Times New Roman" w:cs="Times New Roman"/>
          <w:sz w:val="20"/>
          <w:szCs w:val="20"/>
        </w:rPr>
      </w:pPr>
      <w:r w:rsidRPr="0093053B">
        <w:rPr>
          <w:rStyle w:val="FootnoteReference"/>
          <w:rFonts w:ascii="Times New Roman" w:hAnsi="Times New Roman" w:cs="Times New Roman"/>
          <w:sz w:val="20"/>
          <w:szCs w:val="20"/>
        </w:rPr>
        <w:footnoteRef/>
      </w:r>
      <w:r w:rsidRPr="0093053B">
        <w:rPr>
          <w:rFonts w:ascii="Times New Roman" w:hAnsi="Times New Roman" w:cs="Times New Roman"/>
          <w:sz w:val="20"/>
          <w:szCs w:val="20"/>
        </w:rPr>
        <w:t xml:space="preserve"> </w:t>
      </w:r>
      <w:r w:rsidR="007602A9">
        <w:rPr>
          <w:rFonts w:ascii="Times New Roman" w:hAnsi="Times New Roman" w:cs="Times New Roman"/>
          <w:sz w:val="20"/>
          <w:szCs w:val="20"/>
        </w:rPr>
        <w:t>Acest studiu a fost susținut prin</w:t>
      </w:r>
      <w:r w:rsidRPr="0093053B">
        <w:rPr>
          <w:rFonts w:ascii="Times New Roman" w:hAnsi="Times New Roman" w:cs="Times New Roman"/>
          <w:sz w:val="20"/>
          <w:szCs w:val="20"/>
        </w:rPr>
        <w:t xml:space="preserve"> Sector Operational Programme Human Resources Development (SOP HRD), financed from the European Social Fund and by the Romanian Government under the contract number POSDRU/159/1.5/133675.</w:t>
      </w:r>
    </w:p>
  </w:footnote>
  <w:footnote w:id="14">
    <w:p w:rsidR="00694778" w:rsidRPr="006D2F7F" w:rsidRDefault="00694778" w:rsidP="005733B9">
      <w:pPr>
        <w:pStyle w:val="FootnoteText"/>
        <w:jc w:val="both"/>
        <w:rPr>
          <w:lang w:val="ro-RO"/>
        </w:rPr>
      </w:pPr>
      <w:r w:rsidRPr="0093053B">
        <w:rPr>
          <w:rStyle w:val="FootnoteReference"/>
          <w:rFonts w:ascii="Times New Roman" w:hAnsi="Times New Roman" w:cs="Times New Roman"/>
        </w:rPr>
        <w:footnoteRef/>
      </w:r>
      <w:r w:rsidRPr="0093053B">
        <w:rPr>
          <w:rFonts w:ascii="Times New Roman" w:hAnsi="Times New Roman" w:cs="Times New Roman"/>
        </w:rPr>
        <w:t xml:space="preserve"> </w:t>
      </w:r>
      <w:r w:rsidR="007602A9">
        <w:rPr>
          <w:rFonts w:ascii="Times New Roman" w:hAnsi="Times New Roman" w:cs="Times New Roman"/>
        </w:rPr>
        <w:t>Acest studiu a fost susținut prin</w:t>
      </w:r>
      <w:r w:rsidR="007602A9" w:rsidRPr="0093053B">
        <w:rPr>
          <w:rFonts w:ascii="Times New Roman" w:hAnsi="Times New Roman" w:cs="Times New Roman"/>
        </w:rPr>
        <w:t xml:space="preserve"> </w:t>
      </w:r>
      <w:r w:rsidRPr="0093053B">
        <w:rPr>
          <w:rFonts w:ascii="Times New Roman" w:eastAsia="Calibri" w:hAnsi="Times New Roman" w:cs="Times New Roman"/>
        </w:rPr>
        <w:t>Sector Operational Programme Human Resources Development (SOP HRD), financed from the European Social Fund and by the Romanian Government under the contract number POSDRU/159/1.5/133675</w:t>
      </w:r>
      <w:r w:rsidRPr="0093053B">
        <w:rPr>
          <w:rFonts w:ascii="Times New Roman" w:hAnsi="Times New Roman" w:cs="Times New Roman"/>
        </w:rPr>
        <w:t>.</w:t>
      </w:r>
    </w:p>
  </w:footnote>
  <w:footnote w:id="15">
    <w:p w:rsidR="00694778" w:rsidRPr="0070405B" w:rsidRDefault="00694778" w:rsidP="005733B9">
      <w:pPr>
        <w:pStyle w:val="FootnoteText"/>
        <w:jc w:val="both"/>
        <w:rPr>
          <w:rFonts w:ascii="Times New Roman" w:hAnsi="Times New Roman" w:cs="Times New Roman"/>
          <w:lang w:val="ro-RO"/>
        </w:rPr>
      </w:pPr>
      <w:r w:rsidRPr="0070405B">
        <w:rPr>
          <w:rStyle w:val="FootnoteReference"/>
          <w:rFonts w:ascii="Times New Roman" w:hAnsi="Times New Roman" w:cs="Times New Roman"/>
        </w:rPr>
        <w:footnoteRef/>
      </w:r>
      <w:r w:rsidRPr="0070405B">
        <w:rPr>
          <w:rFonts w:ascii="Times New Roman" w:hAnsi="Times New Roman" w:cs="Times New Roman"/>
        </w:rPr>
        <w:t xml:space="preserve"> </w:t>
      </w:r>
      <w:r w:rsidRPr="0070405B">
        <w:rPr>
          <w:rFonts w:ascii="Times New Roman" w:hAnsi="Times New Roman" w:cs="Times New Roman"/>
          <w:lang w:val="ro-RO"/>
        </w:rPr>
        <w:t xml:space="preserve">V. Miftode, </w:t>
      </w:r>
      <w:r w:rsidRPr="0070405B">
        <w:rPr>
          <w:rFonts w:ascii="Times New Roman" w:hAnsi="Times New Roman" w:cs="Times New Roman"/>
          <w:i/>
          <w:lang w:val="ro-RO"/>
        </w:rPr>
        <w:t>Tratat de metodologie sociologică</w:t>
      </w:r>
      <w:r w:rsidRPr="0070405B">
        <w:rPr>
          <w:rFonts w:ascii="Times New Roman" w:hAnsi="Times New Roman" w:cs="Times New Roman"/>
          <w:lang w:val="ro-RO"/>
        </w:rPr>
        <w:t>, Ed. Lumen, Iaşi, 2003, p. 256.</w:t>
      </w:r>
    </w:p>
  </w:footnote>
  <w:footnote w:id="16">
    <w:p w:rsidR="007A326F" w:rsidRPr="00E66569" w:rsidRDefault="007A326F" w:rsidP="00E66569">
      <w:pPr>
        <w:spacing w:line="240" w:lineRule="auto"/>
        <w:jc w:val="both"/>
        <w:rPr>
          <w:rFonts w:ascii="Times New Roman" w:hAnsi="Times New Roman" w:cs="Times New Roman"/>
          <w:sz w:val="20"/>
          <w:szCs w:val="20"/>
          <w:lang w:val="it-IT"/>
        </w:rPr>
      </w:pPr>
      <w:r w:rsidRPr="00E66569">
        <w:rPr>
          <w:rStyle w:val="FootnoteReference"/>
          <w:rFonts w:ascii="Times New Roman" w:hAnsi="Times New Roman" w:cs="Times New Roman"/>
          <w:sz w:val="20"/>
          <w:szCs w:val="20"/>
        </w:rPr>
        <w:footnoteRef/>
      </w:r>
      <w:r w:rsidRPr="00E66569">
        <w:rPr>
          <w:rFonts w:ascii="Times New Roman" w:hAnsi="Times New Roman" w:cs="Times New Roman"/>
          <w:sz w:val="20"/>
          <w:szCs w:val="20"/>
          <w:lang w:val="it-IT"/>
        </w:rPr>
        <w:t xml:space="preserve">Disponibil online la: </w:t>
      </w:r>
      <w:hyperlink r:id="rId3" w:history="1">
        <w:r w:rsidRPr="00E66569">
          <w:rPr>
            <w:rStyle w:val="Hyperlink"/>
            <w:rFonts w:ascii="Times New Roman" w:hAnsi="Times New Roman" w:cs="Times New Roman"/>
            <w:sz w:val="20"/>
            <w:szCs w:val="20"/>
            <w:lang w:val="it-IT"/>
          </w:rPr>
          <w:t>http://www.adevarul.ro/locale/vaslui/Deficit-personal-Primaria-Vaslui_0_784121589.html#</w:t>
        </w:r>
      </w:hyperlink>
      <w:r w:rsidRPr="00E66569">
        <w:rPr>
          <w:rFonts w:ascii="Times New Roman" w:hAnsi="Times New Roman" w:cs="Times New Roman"/>
          <w:sz w:val="20"/>
          <w:szCs w:val="20"/>
          <w:lang w:val="it-IT"/>
        </w:rPr>
        <w:t>, accesat la 2 decembrie 2014</w:t>
      </w:r>
      <w:r w:rsidR="00041036" w:rsidRPr="00E66569">
        <w:rPr>
          <w:rFonts w:ascii="Times New Roman" w:hAnsi="Times New Roman" w:cs="Times New Roman"/>
          <w:sz w:val="20"/>
          <w:szCs w:val="20"/>
          <w:lang w:val="it-IT"/>
        </w:rPr>
        <w:t xml:space="preserve"> și 26 ianuarie 2017</w:t>
      </w:r>
      <w:r w:rsidRPr="00E66569">
        <w:rPr>
          <w:rFonts w:ascii="Times New Roman" w:hAnsi="Times New Roman" w:cs="Times New Roman"/>
          <w:sz w:val="20"/>
          <w:szCs w:val="20"/>
          <w:lang w:val="it-I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13DB8"/>
    <w:multiLevelType w:val="hybridMultilevel"/>
    <w:tmpl w:val="0A88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BB6856"/>
    <w:multiLevelType w:val="hybridMultilevel"/>
    <w:tmpl w:val="6494F68E"/>
    <w:lvl w:ilvl="0" w:tplc="3062A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B924ED"/>
    <w:multiLevelType w:val="hybridMultilevel"/>
    <w:tmpl w:val="763C5C48"/>
    <w:lvl w:ilvl="0" w:tplc="74D809C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1B7037"/>
    <w:multiLevelType w:val="multilevel"/>
    <w:tmpl w:val="D7C67D6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79FB"/>
    <w:rsid w:val="00030528"/>
    <w:rsid w:val="00030940"/>
    <w:rsid w:val="00041036"/>
    <w:rsid w:val="000672C3"/>
    <w:rsid w:val="0008196F"/>
    <w:rsid w:val="0008622E"/>
    <w:rsid w:val="000A0ED8"/>
    <w:rsid w:val="000A7F7E"/>
    <w:rsid w:val="000D757E"/>
    <w:rsid w:val="00101FA6"/>
    <w:rsid w:val="00135909"/>
    <w:rsid w:val="0013660B"/>
    <w:rsid w:val="0015309A"/>
    <w:rsid w:val="001550B2"/>
    <w:rsid w:val="00194F9C"/>
    <w:rsid w:val="0021458C"/>
    <w:rsid w:val="00230A42"/>
    <w:rsid w:val="002560EF"/>
    <w:rsid w:val="00257F48"/>
    <w:rsid w:val="00260443"/>
    <w:rsid w:val="002608F5"/>
    <w:rsid w:val="00297076"/>
    <w:rsid w:val="002A367A"/>
    <w:rsid w:val="002B219B"/>
    <w:rsid w:val="002B426B"/>
    <w:rsid w:val="002C547E"/>
    <w:rsid w:val="0037445F"/>
    <w:rsid w:val="0039617F"/>
    <w:rsid w:val="003979FB"/>
    <w:rsid w:val="003D0807"/>
    <w:rsid w:val="003E2893"/>
    <w:rsid w:val="00401587"/>
    <w:rsid w:val="004D4F87"/>
    <w:rsid w:val="004E740F"/>
    <w:rsid w:val="00557472"/>
    <w:rsid w:val="00571FAA"/>
    <w:rsid w:val="005733B9"/>
    <w:rsid w:val="00616AA6"/>
    <w:rsid w:val="00676E87"/>
    <w:rsid w:val="00693F44"/>
    <w:rsid w:val="00694778"/>
    <w:rsid w:val="006E0EB0"/>
    <w:rsid w:val="006F153F"/>
    <w:rsid w:val="007602A9"/>
    <w:rsid w:val="007948E7"/>
    <w:rsid w:val="00796131"/>
    <w:rsid w:val="007A326F"/>
    <w:rsid w:val="007E17B2"/>
    <w:rsid w:val="007E693E"/>
    <w:rsid w:val="00837FEC"/>
    <w:rsid w:val="00885B89"/>
    <w:rsid w:val="008877CB"/>
    <w:rsid w:val="00891F37"/>
    <w:rsid w:val="008C2EB1"/>
    <w:rsid w:val="008C32B2"/>
    <w:rsid w:val="008C4DE1"/>
    <w:rsid w:val="0090180A"/>
    <w:rsid w:val="00923E9E"/>
    <w:rsid w:val="00954AE4"/>
    <w:rsid w:val="00964845"/>
    <w:rsid w:val="00983F69"/>
    <w:rsid w:val="009B4D94"/>
    <w:rsid w:val="00A35E2F"/>
    <w:rsid w:val="00A745CE"/>
    <w:rsid w:val="00B116E6"/>
    <w:rsid w:val="00B169D2"/>
    <w:rsid w:val="00B34FFD"/>
    <w:rsid w:val="00B436E1"/>
    <w:rsid w:val="00B462C1"/>
    <w:rsid w:val="00B62657"/>
    <w:rsid w:val="00B7428D"/>
    <w:rsid w:val="00BB4654"/>
    <w:rsid w:val="00C80E7A"/>
    <w:rsid w:val="00C92CFA"/>
    <w:rsid w:val="00DC4C1A"/>
    <w:rsid w:val="00DD2739"/>
    <w:rsid w:val="00E3679F"/>
    <w:rsid w:val="00E611C0"/>
    <w:rsid w:val="00E66569"/>
    <w:rsid w:val="00E92DEE"/>
    <w:rsid w:val="00ED70EC"/>
    <w:rsid w:val="00F0631B"/>
    <w:rsid w:val="00F12608"/>
    <w:rsid w:val="00F23960"/>
    <w:rsid w:val="00F82707"/>
    <w:rsid w:val="00FA40C9"/>
    <w:rsid w:val="00FC1E16"/>
    <w:rsid w:val="00FC2C49"/>
    <w:rsid w:val="00FC53E5"/>
    <w:rsid w:val="00FF3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778"/>
    <w:pPr>
      <w:ind w:left="720"/>
      <w:contextualSpacing/>
    </w:pPr>
  </w:style>
  <w:style w:type="paragraph" w:styleId="FootnoteText">
    <w:name w:val="footnote text"/>
    <w:basedOn w:val="Normal"/>
    <w:link w:val="FootnoteTextChar"/>
    <w:unhideWhenUsed/>
    <w:rsid w:val="00694778"/>
    <w:pPr>
      <w:spacing w:after="0" w:line="240" w:lineRule="auto"/>
    </w:pPr>
    <w:rPr>
      <w:sz w:val="20"/>
      <w:szCs w:val="20"/>
    </w:rPr>
  </w:style>
  <w:style w:type="character" w:customStyle="1" w:styleId="FootnoteTextChar">
    <w:name w:val="Footnote Text Char"/>
    <w:basedOn w:val="DefaultParagraphFont"/>
    <w:link w:val="FootnoteText"/>
    <w:rsid w:val="00694778"/>
    <w:rPr>
      <w:sz w:val="20"/>
      <w:szCs w:val="20"/>
    </w:rPr>
  </w:style>
  <w:style w:type="character" w:styleId="FootnoteReference">
    <w:name w:val="footnote reference"/>
    <w:basedOn w:val="DefaultParagraphFont"/>
    <w:unhideWhenUsed/>
    <w:rsid w:val="00694778"/>
    <w:rPr>
      <w:vertAlign w:val="superscript"/>
    </w:rPr>
  </w:style>
  <w:style w:type="character" w:styleId="Hyperlink">
    <w:name w:val="Hyperlink"/>
    <w:basedOn w:val="DefaultParagraphFont"/>
    <w:rsid w:val="00694778"/>
    <w:rPr>
      <w:color w:val="0000FF"/>
      <w:u w:val="single"/>
    </w:rPr>
  </w:style>
  <w:style w:type="paragraph" w:styleId="BalloonText">
    <w:name w:val="Balloon Text"/>
    <w:basedOn w:val="Normal"/>
    <w:link w:val="BalloonTextChar"/>
    <w:uiPriority w:val="99"/>
    <w:semiHidden/>
    <w:unhideWhenUsed/>
    <w:rsid w:val="00B46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2C1"/>
    <w:rPr>
      <w:rFonts w:ascii="Tahoma" w:hAnsi="Tahoma" w:cs="Tahoma"/>
      <w:sz w:val="16"/>
      <w:szCs w:val="16"/>
    </w:rPr>
  </w:style>
  <w:style w:type="character" w:customStyle="1" w:styleId="apple-converted-space">
    <w:name w:val="apple-converted-space"/>
    <w:basedOn w:val="DefaultParagraphFont"/>
    <w:rsid w:val="0037445F"/>
  </w:style>
  <w:style w:type="character" w:styleId="Emphasis">
    <w:name w:val="Emphasis"/>
    <w:basedOn w:val="DefaultParagraphFont"/>
    <w:uiPriority w:val="20"/>
    <w:qFormat/>
    <w:rsid w:val="0037445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yperlink" Target="http://www.adevarul.ro/locale/vaslui/Deficit-personal-Primaria%20Vaslui_0_784121589.html"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en.wikipedia.org/wiki/Harper_%26_Br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en.wikipedia.org/wiki/New_York_City"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devarul.ro/locale/vaslui/Deficit-personal-Primaria-Vaslui_0_784121589.html" TargetMode="External"/><Relationship Id="rId2" Type="http://schemas.openxmlformats.org/officeDocument/2006/relationships/hyperlink" Target="https://en.wikipedia.org/wiki/Harper_%26_Brothers" TargetMode="External"/><Relationship Id="rId1" Type="http://schemas.openxmlformats.org/officeDocument/2006/relationships/hyperlink" Target="https://en.wikipedia.org/wiki/New_York_Cit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cercetare%202017\articol%204\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Sheet0!$A$2</c:f>
              <c:strCache>
                <c:ptCount val="1"/>
                <c:pt idx="0">
                  <c:v>2013</c:v>
                </c:pt>
              </c:strCache>
            </c:strRef>
          </c:tx>
          <c:dLbls>
            <c:dLbl>
              <c:idx val="0"/>
              <c:layout>
                <c:manualLayout>
                  <c:x val="3.958614484930275E-2"/>
                  <c:y val="-4.1666666666666692E-2"/>
                </c:manualLayout>
              </c:layout>
              <c:dLblPos val="ctr"/>
              <c:showVal val="1"/>
            </c:dLbl>
            <c:dLbl>
              <c:idx val="1"/>
              <c:layout>
                <c:manualLayout>
                  <c:x val="-1.0796221322537136E-2"/>
                  <c:y val="-9.2592592592592893E-2"/>
                </c:manualLayout>
              </c:layout>
              <c:dLblPos val="ctr"/>
              <c:showVal val="1"/>
            </c:dLbl>
            <c:dLbl>
              <c:idx val="2"/>
              <c:layout>
                <c:manualLayout>
                  <c:x val="-6.2977957714799818E-2"/>
                  <c:y val="-6.481481481481495E-2"/>
                </c:manualLayout>
              </c:layout>
              <c:dLblPos val="ctr"/>
              <c:showVal val="1"/>
            </c:dLbl>
            <c:dLblPos val="ctr"/>
            <c:showVal val="1"/>
          </c:dLbls>
          <c:cat>
            <c:strRef>
              <c:f>Sheet0!$B$1:$D$1</c:f>
              <c:strCache>
                <c:ptCount val="3"/>
                <c:pt idx="0">
                  <c:v>Indivizii, în mod singular, sau anumite grupuri stabilite</c:v>
                </c:pt>
                <c:pt idx="1">
                  <c:v>Indivizii, în mod singular, sau anumite grupuri care pot să fie implicaţi(e) pe parcursul </c:v>
                </c:pt>
                <c:pt idx="2">
                  <c:v>Instituţia în ansamblu sau reprezentanţii </c:v>
                </c:pt>
              </c:strCache>
            </c:strRef>
          </c:cat>
          <c:val>
            <c:numRef>
              <c:f>Sheet0!$B$2:$D$2</c:f>
              <c:numCache>
                <c:formatCode>General</c:formatCode>
                <c:ptCount val="3"/>
                <c:pt idx="0">
                  <c:v>19.2</c:v>
                </c:pt>
                <c:pt idx="1">
                  <c:v>13.7</c:v>
                </c:pt>
                <c:pt idx="2">
                  <c:v>67.099999999999994</c:v>
                </c:pt>
              </c:numCache>
            </c:numRef>
          </c:val>
        </c:ser>
        <c:ser>
          <c:idx val="1"/>
          <c:order val="1"/>
          <c:tx>
            <c:strRef>
              <c:f>Sheet0!$A$3</c:f>
              <c:strCache>
                <c:ptCount val="1"/>
                <c:pt idx="0">
                  <c:v>2016</c:v>
                </c:pt>
              </c:strCache>
            </c:strRef>
          </c:tx>
          <c:dLbls>
            <c:dLbl>
              <c:idx val="0"/>
              <c:layout>
                <c:manualLayout>
                  <c:x val="-5.7579847053531343E-2"/>
                  <c:y val="-2.3148148148148147E-2"/>
                </c:manualLayout>
              </c:layout>
              <c:dLblPos val="ctr"/>
              <c:showVal val="1"/>
            </c:dLbl>
            <c:dLbl>
              <c:idx val="1"/>
              <c:layout>
                <c:manualLayout>
                  <c:x val="4.4984255510571412E-2"/>
                  <c:y val="3.2407407407407489E-2"/>
                </c:manualLayout>
              </c:layout>
              <c:dLblPos val="ctr"/>
              <c:showVal val="1"/>
            </c:dLbl>
            <c:dLbl>
              <c:idx val="2"/>
              <c:layout>
                <c:manualLayout>
                  <c:x val="4.3184885290148453E-2"/>
                  <c:y val="9.2592592592592893E-2"/>
                </c:manualLayout>
              </c:layout>
              <c:dLblPos val="ctr"/>
              <c:showVal val="1"/>
            </c:dLbl>
            <c:dLblPos val="ctr"/>
            <c:showVal val="1"/>
          </c:dLbls>
          <c:cat>
            <c:strRef>
              <c:f>Sheet0!$B$1:$D$1</c:f>
              <c:strCache>
                <c:ptCount val="3"/>
                <c:pt idx="0">
                  <c:v>Indivizii, în mod singular, sau anumite grupuri stabilite</c:v>
                </c:pt>
                <c:pt idx="1">
                  <c:v>Indivizii, în mod singular, sau anumite grupuri care pot să fie implicaţi(e) pe parcursul </c:v>
                </c:pt>
                <c:pt idx="2">
                  <c:v>Instituţia în ansamblu sau reprezentanţii </c:v>
                </c:pt>
              </c:strCache>
            </c:strRef>
          </c:cat>
          <c:val>
            <c:numRef>
              <c:f>Sheet0!$B$3:$D$3</c:f>
              <c:numCache>
                <c:formatCode>General</c:formatCode>
                <c:ptCount val="3"/>
                <c:pt idx="0">
                  <c:v>12.9</c:v>
                </c:pt>
                <c:pt idx="1">
                  <c:v>8.9</c:v>
                </c:pt>
                <c:pt idx="2">
                  <c:v>78.2</c:v>
                </c:pt>
              </c:numCache>
            </c:numRef>
          </c:val>
        </c:ser>
        <c:dLbls>
          <c:showVal val="1"/>
        </c:dLbls>
        <c:marker val="1"/>
        <c:axId val="52536448"/>
        <c:axId val="55841920"/>
      </c:lineChart>
      <c:catAx>
        <c:axId val="52536448"/>
        <c:scaling>
          <c:orientation val="minMax"/>
        </c:scaling>
        <c:axPos val="b"/>
        <c:tickLblPos val="nextTo"/>
        <c:crossAx val="55841920"/>
        <c:crosses val="autoZero"/>
        <c:auto val="1"/>
        <c:lblAlgn val="ctr"/>
        <c:lblOffset val="100"/>
      </c:catAx>
      <c:valAx>
        <c:axId val="55841920"/>
        <c:scaling>
          <c:orientation val="minMax"/>
        </c:scaling>
        <c:axPos val="l"/>
        <c:majorGridlines/>
        <c:numFmt formatCode="General" sourceLinked="1"/>
        <c:tickLblPos val="nextTo"/>
        <c:crossAx val="52536448"/>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În biroul în care lucrați:</a:t>
            </a:r>
            <a:endParaRPr lang="en-US"/>
          </a:p>
        </c:rich>
      </c:tx>
    </c:title>
    <c:plotArea>
      <c:layout/>
      <c:lineChart>
        <c:grouping val="standard"/>
        <c:ser>
          <c:idx val="0"/>
          <c:order val="0"/>
          <c:tx>
            <c:strRef>
              <c:f>Sheet9!$A$2</c:f>
              <c:strCache>
                <c:ptCount val="1"/>
                <c:pt idx="0">
                  <c:v>2013</c:v>
                </c:pt>
              </c:strCache>
            </c:strRef>
          </c:tx>
          <c:dLbls>
            <c:dLbl>
              <c:idx val="0"/>
              <c:layout>
                <c:manualLayout>
                  <c:x val="-6.8027210884353803E-2"/>
                  <c:y val="1.1940298507462711E-2"/>
                </c:manualLayout>
              </c:layout>
              <c:showVal val="1"/>
            </c:dLbl>
            <c:dLbl>
              <c:idx val="1"/>
              <c:layout>
                <c:manualLayout>
                  <c:x val="-8.6734693877551006E-2"/>
                  <c:y val="2.3880597014925422E-2"/>
                </c:manualLayout>
              </c:layout>
              <c:showVal val="1"/>
            </c:dLbl>
            <c:dLbl>
              <c:idx val="2"/>
              <c:layout>
                <c:manualLayout>
                  <c:x val="-3.5714285714285712E-2"/>
                  <c:y val="-0.10746268656716419"/>
                </c:manualLayout>
              </c:layout>
              <c:showVal val="1"/>
            </c:dLbl>
            <c:showVal val="1"/>
          </c:dLbls>
          <c:cat>
            <c:strRef>
              <c:f>Sheet9!$B$1:$D$1</c:f>
              <c:strCache>
                <c:ptCount val="3"/>
                <c:pt idx="0">
                  <c:v> Cei care decid elimină disensiunile, certurile, erorile.</c:v>
                </c:pt>
                <c:pt idx="1">
                  <c:v>Se iau decizii după modele deja puse în practică pentru a evita disensiunile.</c:v>
                </c:pt>
                <c:pt idx="2">
                  <c:v>se preferă alianţele între cei care decid în locul disensiunilor.</c:v>
                </c:pt>
              </c:strCache>
            </c:strRef>
          </c:cat>
          <c:val>
            <c:numRef>
              <c:f>Sheet9!$B$2:$D$2</c:f>
              <c:numCache>
                <c:formatCode>General</c:formatCode>
                <c:ptCount val="3"/>
                <c:pt idx="0">
                  <c:v>56.9</c:v>
                </c:pt>
                <c:pt idx="1">
                  <c:v>18.5</c:v>
                </c:pt>
                <c:pt idx="2">
                  <c:v>24.6</c:v>
                </c:pt>
              </c:numCache>
            </c:numRef>
          </c:val>
        </c:ser>
        <c:ser>
          <c:idx val="1"/>
          <c:order val="1"/>
          <c:tx>
            <c:strRef>
              <c:f>Sheet9!$A$3</c:f>
              <c:strCache>
                <c:ptCount val="1"/>
                <c:pt idx="0">
                  <c:v>2016</c:v>
                </c:pt>
              </c:strCache>
            </c:strRef>
          </c:tx>
          <c:dLbls>
            <c:dLbl>
              <c:idx val="0"/>
              <c:layout>
                <c:manualLayout>
                  <c:x val="-8.673469387755102E-2"/>
                  <c:y val="2.7860696517412974E-2"/>
                </c:manualLayout>
              </c:layout>
              <c:showVal val="1"/>
            </c:dLbl>
            <c:dLbl>
              <c:idx val="1"/>
              <c:layout>
                <c:manualLayout>
                  <c:x val="6.2357556284180024E-17"/>
                  <c:y val="-7.9601990049751381E-2"/>
                </c:manualLayout>
              </c:layout>
              <c:showVal val="1"/>
            </c:dLbl>
            <c:dLbl>
              <c:idx val="2"/>
              <c:layout>
                <c:manualLayout>
                  <c:x val="5.1020408163265285E-3"/>
                  <c:y val="3.9800995024875704E-2"/>
                </c:manualLayout>
              </c:layout>
              <c:showVal val="1"/>
            </c:dLbl>
            <c:showVal val="1"/>
          </c:dLbls>
          <c:cat>
            <c:strRef>
              <c:f>Sheet9!$B$1:$D$1</c:f>
              <c:strCache>
                <c:ptCount val="3"/>
                <c:pt idx="0">
                  <c:v> Cei care decid elimină disensiunile, certurile, erorile.</c:v>
                </c:pt>
                <c:pt idx="1">
                  <c:v>Se iau decizii după modele deja puse în practică pentru a evita disensiunile.</c:v>
                </c:pt>
                <c:pt idx="2">
                  <c:v>se preferă alianţele între cei care decid în locul disensiunilor.</c:v>
                </c:pt>
              </c:strCache>
            </c:strRef>
          </c:cat>
          <c:val>
            <c:numRef>
              <c:f>Sheet9!$B$3:$D$3</c:f>
              <c:numCache>
                <c:formatCode>General</c:formatCode>
                <c:ptCount val="3"/>
                <c:pt idx="0">
                  <c:v>47.6</c:v>
                </c:pt>
                <c:pt idx="1">
                  <c:v>33.300000000000004</c:v>
                </c:pt>
                <c:pt idx="2">
                  <c:v>19</c:v>
                </c:pt>
              </c:numCache>
            </c:numRef>
          </c:val>
        </c:ser>
        <c:dLbls>
          <c:showVal val="1"/>
        </c:dLbls>
        <c:marker val="1"/>
        <c:axId val="86660224"/>
        <c:axId val="86661760"/>
      </c:lineChart>
      <c:catAx>
        <c:axId val="86660224"/>
        <c:scaling>
          <c:orientation val="minMax"/>
        </c:scaling>
        <c:axPos val="b"/>
        <c:majorTickMark val="none"/>
        <c:tickLblPos val="nextTo"/>
        <c:txPr>
          <a:bodyPr/>
          <a:lstStyle/>
          <a:p>
            <a:pPr>
              <a:defRPr sz="800"/>
            </a:pPr>
            <a:endParaRPr lang="en-US"/>
          </a:p>
        </c:txPr>
        <c:crossAx val="86661760"/>
        <c:crosses val="autoZero"/>
        <c:auto val="1"/>
        <c:lblAlgn val="ctr"/>
        <c:lblOffset val="100"/>
      </c:catAx>
      <c:valAx>
        <c:axId val="86661760"/>
        <c:scaling>
          <c:orientation val="minMax"/>
        </c:scaling>
        <c:axPos val="l"/>
        <c:majorGridlines/>
        <c:numFmt formatCode="General" sourceLinked="1"/>
        <c:majorTickMark val="none"/>
        <c:tickLblPos val="nextTo"/>
        <c:crossAx val="86660224"/>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În</a:t>
            </a:r>
            <a:r>
              <a:rPr lang="ro-RO" baseline="0"/>
              <a:t> biroul în care lucrați:</a:t>
            </a:r>
            <a:endParaRPr lang="en-US"/>
          </a:p>
        </c:rich>
      </c:tx>
    </c:title>
    <c:plotArea>
      <c:layout/>
      <c:lineChart>
        <c:grouping val="standard"/>
        <c:ser>
          <c:idx val="0"/>
          <c:order val="0"/>
          <c:tx>
            <c:strRef>
              <c:f>Sheet10!$A$2</c:f>
              <c:strCache>
                <c:ptCount val="1"/>
                <c:pt idx="0">
                  <c:v>2013</c:v>
                </c:pt>
              </c:strCache>
            </c:strRef>
          </c:tx>
          <c:dLbls>
            <c:dLbl>
              <c:idx val="0"/>
              <c:layout>
                <c:manualLayout>
                  <c:x val="-6.0687193217313723E-2"/>
                  <c:y val="4.9230769230769231E-2"/>
                </c:manualLayout>
              </c:layout>
              <c:showVal val="1"/>
            </c:dLbl>
            <c:dLbl>
              <c:idx val="1"/>
              <c:layout>
                <c:manualLayout>
                  <c:x val="-1.4279339580544373E-2"/>
                  <c:y val="-6.1538461538461584E-2"/>
                </c:manualLayout>
              </c:layout>
              <c:showVal val="1"/>
            </c:dLbl>
            <c:dLbl>
              <c:idx val="2"/>
              <c:layout>
                <c:manualLayout>
                  <c:x val="0"/>
                  <c:y val="-3.2820512820512855E-2"/>
                </c:manualLayout>
              </c:layout>
              <c:showVal val="1"/>
            </c:dLbl>
            <c:showVal val="1"/>
          </c:dLbls>
          <c:cat>
            <c:strRef>
              <c:f>Sheet10!$B$1:$D$1</c:f>
              <c:strCache>
                <c:ptCount val="3"/>
                <c:pt idx="0">
                  <c:v>Există un control strict din partea superiorilor.</c:v>
                </c:pt>
                <c:pt idx="1">
                  <c:v>Nu există un control strict din partea superiorilor.</c:v>
                </c:pt>
                <c:pt idx="2">
                  <c:v>Se preferă alianţele între cei care decid în locul disensiunilor.</c:v>
                </c:pt>
              </c:strCache>
            </c:strRef>
          </c:cat>
          <c:val>
            <c:numRef>
              <c:f>Sheet10!$B$2:$D$2</c:f>
              <c:numCache>
                <c:formatCode>General</c:formatCode>
                <c:ptCount val="3"/>
                <c:pt idx="0">
                  <c:v>50.8</c:v>
                </c:pt>
                <c:pt idx="1">
                  <c:v>18</c:v>
                </c:pt>
                <c:pt idx="2">
                  <c:v>31.1</c:v>
                </c:pt>
              </c:numCache>
            </c:numRef>
          </c:val>
        </c:ser>
        <c:ser>
          <c:idx val="1"/>
          <c:order val="1"/>
          <c:tx>
            <c:strRef>
              <c:f>Sheet10!$A$3</c:f>
              <c:strCache>
                <c:ptCount val="1"/>
                <c:pt idx="0">
                  <c:v>2016</c:v>
                </c:pt>
              </c:strCache>
            </c:strRef>
          </c:tx>
          <c:dLbls>
            <c:dLbl>
              <c:idx val="0"/>
              <c:layout>
                <c:manualLayout>
                  <c:x val="0"/>
                  <c:y val="-2.4615384615384615E-2"/>
                </c:manualLayout>
              </c:layout>
              <c:showVal val="1"/>
            </c:dLbl>
            <c:dLbl>
              <c:idx val="1"/>
              <c:layout>
                <c:manualLayout>
                  <c:x val="-0.12315930388219545"/>
                  <c:y val="-2.4615384615384615E-2"/>
                </c:manualLayout>
              </c:layout>
              <c:showVal val="1"/>
            </c:dLbl>
            <c:showVal val="1"/>
          </c:dLbls>
          <c:cat>
            <c:strRef>
              <c:f>Sheet10!$B$1:$D$1</c:f>
              <c:strCache>
                <c:ptCount val="3"/>
                <c:pt idx="0">
                  <c:v>Există un control strict din partea superiorilor.</c:v>
                </c:pt>
                <c:pt idx="1">
                  <c:v>Nu există un control strict din partea superiorilor.</c:v>
                </c:pt>
                <c:pt idx="2">
                  <c:v>Se preferă alianţele între cei care decid în locul disensiunilor.</c:v>
                </c:pt>
              </c:strCache>
            </c:strRef>
          </c:cat>
          <c:val>
            <c:numRef>
              <c:f>Sheet10!$B$3:$D$3</c:f>
              <c:numCache>
                <c:formatCode>General</c:formatCode>
                <c:ptCount val="3"/>
                <c:pt idx="0">
                  <c:v>74.599999999999994</c:v>
                </c:pt>
                <c:pt idx="1">
                  <c:v>11.1</c:v>
                </c:pt>
                <c:pt idx="2">
                  <c:v>14.3</c:v>
                </c:pt>
              </c:numCache>
            </c:numRef>
          </c:val>
        </c:ser>
        <c:dLbls>
          <c:showVal val="1"/>
        </c:dLbls>
        <c:marker val="1"/>
        <c:axId val="86690432"/>
        <c:axId val="86696320"/>
      </c:lineChart>
      <c:catAx>
        <c:axId val="86690432"/>
        <c:scaling>
          <c:orientation val="minMax"/>
        </c:scaling>
        <c:axPos val="b"/>
        <c:majorTickMark val="none"/>
        <c:tickLblPos val="nextTo"/>
        <c:crossAx val="86696320"/>
        <c:crosses val="autoZero"/>
        <c:auto val="1"/>
        <c:lblAlgn val="ctr"/>
        <c:lblOffset val="100"/>
      </c:catAx>
      <c:valAx>
        <c:axId val="86696320"/>
        <c:scaling>
          <c:orientation val="minMax"/>
        </c:scaling>
        <c:axPos val="l"/>
        <c:majorGridlines/>
        <c:numFmt formatCode="General" sourceLinked="1"/>
        <c:majorTickMark val="none"/>
        <c:tickLblPos val="nextTo"/>
        <c:crossAx val="8669043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Grupul care ia decizii</a:t>
            </a:r>
            <a:endParaRPr lang="en-US"/>
          </a:p>
        </c:rich>
      </c:tx>
    </c:title>
    <c:plotArea>
      <c:layout>
        <c:manualLayout>
          <c:layoutTarget val="inner"/>
          <c:xMode val="edge"/>
          <c:yMode val="edge"/>
          <c:x val="9.0058550373511043E-2"/>
          <c:y val="0.19990470936355867"/>
          <c:w val="0.8144428741279135"/>
          <c:h val="0.63756524065065112"/>
        </c:manualLayout>
      </c:layout>
      <c:lineChart>
        <c:grouping val="standard"/>
        <c:ser>
          <c:idx val="0"/>
          <c:order val="0"/>
          <c:tx>
            <c:strRef>
              <c:f>Sheet1!$A$2</c:f>
              <c:strCache>
                <c:ptCount val="1"/>
                <c:pt idx="0">
                  <c:v>2013</c:v>
                </c:pt>
              </c:strCache>
            </c:strRef>
          </c:tx>
          <c:dLbls>
            <c:dLbl>
              <c:idx val="0"/>
              <c:layout>
                <c:manualLayout>
                  <c:x val="7.5973409306742748E-3"/>
                  <c:y val="-4.7619047619047693E-2"/>
                </c:manualLayout>
              </c:layout>
              <c:showVal val="1"/>
            </c:dLbl>
            <c:dLbl>
              <c:idx val="1"/>
              <c:layout>
                <c:manualLayout>
                  <c:x val="-3.0389363722697002E-2"/>
                  <c:y val="-0.10714285714285714"/>
                </c:manualLayout>
              </c:layout>
              <c:showVal val="1"/>
            </c:dLbl>
            <c:dLbl>
              <c:idx val="2"/>
              <c:layout>
                <c:manualLayout>
                  <c:x val="5.6980056980056983E-3"/>
                  <c:y val="-0.11904761904761912"/>
                </c:manualLayout>
              </c:layout>
              <c:showVal val="1"/>
            </c:dLbl>
            <c:showVal val="1"/>
          </c:dLbls>
          <c:cat>
            <c:strRef>
              <c:f>Sheet1!$B$1:$D$1</c:f>
              <c:strCache>
                <c:ptCount val="3"/>
                <c:pt idx="0">
                  <c:v>Este clar stabilit şi definit, dar pot interveni modificări </c:v>
                </c:pt>
                <c:pt idx="1">
                  <c:v>Nu este clar stabilit </c:v>
                </c:pt>
                <c:pt idx="2">
                  <c:v>Are o identitate clar stabilită din start</c:v>
                </c:pt>
              </c:strCache>
            </c:strRef>
          </c:cat>
          <c:val>
            <c:numRef>
              <c:f>Sheet1!$B$2:$D$2</c:f>
              <c:numCache>
                <c:formatCode>General</c:formatCode>
                <c:ptCount val="3"/>
                <c:pt idx="0">
                  <c:v>50.5</c:v>
                </c:pt>
                <c:pt idx="1">
                  <c:v>5.5</c:v>
                </c:pt>
                <c:pt idx="2">
                  <c:v>43.8</c:v>
                </c:pt>
              </c:numCache>
            </c:numRef>
          </c:val>
        </c:ser>
        <c:ser>
          <c:idx val="1"/>
          <c:order val="1"/>
          <c:tx>
            <c:strRef>
              <c:f>Sheet1!$A$3</c:f>
              <c:strCache>
                <c:ptCount val="1"/>
                <c:pt idx="0">
                  <c:v>2016</c:v>
                </c:pt>
              </c:strCache>
            </c:strRef>
          </c:tx>
          <c:dLbls>
            <c:dLbl>
              <c:idx val="0"/>
              <c:layout>
                <c:manualLayout>
                  <c:x val="-8.9268755935422744E-2"/>
                  <c:y val="5.2219097612798422E-2"/>
                </c:manualLayout>
              </c:layout>
              <c:showVal val="1"/>
            </c:dLbl>
            <c:dLbl>
              <c:idx val="1"/>
              <c:layout>
                <c:manualLayout>
                  <c:x val="3.4188034188034115E-2"/>
                  <c:y val="-2.1155480564929406E-2"/>
                </c:manualLayout>
              </c:layout>
              <c:showVal val="1"/>
            </c:dLbl>
            <c:dLbl>
              <c:idx val="2"/>
              <c:layout>
                <c:manualLayout>
                  <c:x val="-1.3295346628679944E-2"/>
                  <c:y val="0.1716713535808024"/>
                </c:manualLayout>
              </c:layout>
              <c:showVal val="1"/>
            </c:dLbl>
            <c:showVal val="1"/>
          </c:dLbls>
          <c:cat>
            <c:strRef>
              <c:f>Sheet1!$B$1:$D$1</c:f>
              <c:strCache>
                <c:ptCount val="3"/>
                <c:pt idx="0">
                  <c:v>Este clar stabilit şi definit, dar pot interveni modificări </c:v>
                </c:pt>
                <c:pt idx="1">
                  <c:v>Nu este clar stabilit </c:v>
                </c:pt>
                <c:pt idx="2">
                  <c:v>Are o identitate clar stabilită din start</c:v>
                </c:pt>
              </c:strCache>
            </c:strRef>
          </c:cat>
          <c:val>
            <c:numRef>
              <c:f>Sheet1!$B$3:$D$3</c:f>
              <c:numCache>
                <c:formatCode>General</c:formatCode>
                <c:ptCount val="3"/>
                <c:pt idx="0">
                  <c:v>48.4</c:v>
                </c:pt>
                <c:pt idx="1">
                  <c:v>1.6</c:v>
                </c:pt>
                <c:pt idx="2">
                  <c:v>50</c:v>
                </c:pt>
              </c:numCache>
            </c:numRef>
          </c:val>
        </c:ser>
        <c:dLbls>
          <c:showVal val="1"/>
        </c:dLbls>
        <c:marker val="1"/>
        <c:axId val="57653504"/>
        <c:axId val="67756416"/>
      </c:lineChart>
      <c:catAx>
        <c:axId val="57653504"/>
        <c:scaling>
          <c:orientation val="minMax"/>
        </c:scaling>
        <c:axPos val="b"/>
        <c:majorTickMark val="none"/>
        <c:tickLblPos val="nextTo"/>
        <c:txPr>
          <a:bodyPr/>
          <a:lstStyle/>
          <a:p>
            <a:pPr>
              <a:defRPr sz="900" baseline="0"/>
            </a:pPr>
            <a:endParaRPr lang="en-US"/>
          </a:p>
        </c:txPr>
        <c:crossAx val="67756416"/>
        <c:crosses val="autoZero"/>
        <c:auto val="1"/>
        <c:lblAlgn val="ctr"/>
        <c:lblOffset val="100"/>
      </c:catAx>
      <c:valAx>
        <c:axId val="67756416"/>
        <c:scaling>
          <c:orientation val="minMax"/>
        </c:scaling>
        <c:axPos val="l"/>
        <c:majorGridlines/>
        <c:numFmt formatCode="General" sourceLinked="1"/>
        <c:majorTickMark val="none"/>
        <c:tickLblPos val="nextTo"/>
        <c:crossAx val="57653504"/>
        <c:crosses val="autoZero"/>
        <c:crossBetween val="between"/>
      </c:valAx>
    </c:plotArea>
    <c:legend>
      <c:legendPos val="r"/>
      <c:layout>
        <c:manualLayout>
          <c:xMode val="edge"/>
          <c:yMode val="edge"/>
          <c:x val="0.89120607787274342"/>
          <c:y val="0.46774763027233063"/>
          <c:w val="0.10879392212725569"/>
          <c:h val="0.18716597925259343"/>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Cei care iau decizii:</a:t>
            </a:r>
            <a:endParaRPr lang="en-US"/>
          </a:p>
        </c:rich>
      </c:tx>
    </c:title>
    <c:plotArea>
      <c:layout/>
      <c:lineChart>
        <c:grouping val="standard"/>
        <c:ser>
          <c:idx val="0"/>
          <c:order val="0"/>
          <c:tx>
            <c:strRef>
              <c:f>Sheet2!$A$2</c:f>
              <c:strCache>
                <c:ptCount val="1"/>
                <c:pt idx="0">
                  <c:v>2013</c:v>
                </c:pt>
              </c:strCache>
            </c:strRef>
          </c:tx>
          <c:dLbls>
            <c:dLbl>
              <c:idx val="0"/>
              <c:layout>
                <c:manualLayout>
                  <c:x val="3.3126293995859213E-3"/>
                  <c:y val="-0.10506170487680651"/>
                </c:manualLayout>
              </c:layout>
              <c:showVal val="1"/>
            </c:dLbl>
            <c:dLbl>
              <c:idx val="1"/>
              <c:layout>
                <c:manualLayout>
                  <c:x val="6.29399585921325E-2"/>
                  <c:y val="-1.9264325226725981E-2"/>
                </c:manualLayout>
              </c:layout>
              <c:showVal val="1"/>
            </c:dLbl>
            <c:dLbl>
              <c:idx val="2"/>
              <c:layout>
                <c:manualLayout>
                  <c:x val="1.3250517598343685E-2"/>
                  <c:y val="1.4032024335037691E-2"/>
                </c:manualLayout>
              </c:layout>
              <c:showVal val="1"/>
            </c:dLbl>
            <c:showVal val="1"/>
          </c:dLbls>
          <c:cat>
            <c:strRef>
              <c:f>Sheet2!$B$1:$D$1</c:f>
              <c:strCache>
                <c:ptCount val="3"/>
                <c:pt idx="0">
                  <c:v>Sunt din cadrul instituţiei, personal administrativ</c:v>
                </c:pt>
                <c:pt idx="1">
                  <c:v>Pot fi şi din exteriorul instituţiei</c:v>
                </c:pt>
                <c:pt idx="2">
                  <c:v>Clar delimitaţi de fiecare departament, structură, grup în parte</c:v>
                </c:pt>
              </c:strCache>
            </c:strRef>
          </c:cat>
          <c:val>
            <c:numRef>
              <c:f>Sheet2!$B$2:$D$2</c:f>
              <c:numCache>
                <c:formatCode>General</c:formatCode>
                <c:ptCount val="3"/>
                <c:pt idx="0">
                  <c:v>20.5</c:v>
                </c:pt>
                <c:pt idx="1">
                  <c:v>2.7</c:v>
                </c:pt>
                <c:pt idx="2">
                  <c:v>76.7</c:v>
                </c:pt>
              </c:numCache>
            </c:numRef>
          </c:val>
        </c:ser>
        <c:ser>
          <c:idx val="1"/>
          <c:order val="1"/>
          <c:tx>
            <c:strRef>
              <c:f>Sheet2!$A$3</c:f>
              <c:strCache>
                <c:ptCount val="1"/>
                <c:pt idx="0">
                  <c:v>2016</c:v>
                </c:pt>
              </c:strCache>
            </c:strRef>
          </c:tx>
          <c:dLbls>
            <c:dLbl>
              <c:idx val="0"/>
              <c:layout>
                <c:manualLayout>
                  <c:x val="-6.6252587991718431E-2"/>
                  <c:y val="-5.8387292514042399E-2"/>
                </c:manualLayout>
              </c:layout>
              <c:showVal val="1"/>
            </c:dLbl>
            <c:dLbl>
              <c:idx val="1"/>
              <c:layout>
                <c:manualLayout>
                  <c:x val="-3.3126293995859209E-2"/>
                  <c:y val="-7.7532632650117644E-2"/>
                </c:manualLayout>
              </c:layout>
              <c:showVal val="1"/>
            </c:dLbl>
            <c:dLbl>
              <c:idx val="2"/>
              <c:layout>
                <c:manualLayout>
                  <c:x val="-6.9565217391304404E-2"/>
                  <c:y val="-4.637679748128952E-2"/>
                </c:manualLayout>
              </c:layout>
              <c:showVal val="1"/>
            </c:dLbl>
            <c:showVal val="1"/>
          </c:dLbls>
          <c:cat>
            <c:strRef>
              <c:f>Sheet2!$B$1:$D$1</c:f>
              <c:strCache>
                <c:ptCount val="3"/>
                <c:pt idx="0">
                  <c:v>Sunt din cadrul instituţiei, personal administrativ</c:v>
                </c:pt>
                <c:pt idx="1">
                  <c:v>Pot fi şi din exteriorul instituţiei</c:v>
                </c:pt>
                <c:pt idx="2">
                  <c:v>Clar delimitaţi de fiecare departament, structură, grup în parte</c:v>
                </c:pt>
              </c:strCache>
            </c:strRef>
          </c:cat>
          <c:val>
            <c:numRef>
              <c:f>Sheet2!$B$3:$D$3</c:f>
              <c:numCache>
                <c:formatCode>General</c:formatCode>
                <c:ptCount val="3"/>
                <c:pt idx="0">
                  <c:v>17.399999999999999</c:v>
                </c:pt>
                <c:pt idx="1">
                  <c:v>3.3</c:v>
                </c:pt>
                <c:pt idx="2">
                  <c:v>79.3</c:v>
                </c:pt>
              </c:numCache>
            </c:numRef>
          </c:val>
        </c:ser>
        <c:dLbls>
          <c:showVal val="1"/>
        </c:dLbls>
        <c:marker val="1"/>
        <c:axId val="68002944"/>
        <c:axId val="68004480"/>
      </c:lineChart>
      <c:catAx>
        <c:axId val="68002944"/>
        <c:scaling>
          <c:orientation val="minMax"/>
        </c:scaling>
        <c:axPos val="b"/>
        <c:majorTickMark val="none"/>
        <c:tickLblPos val="nextTo"/>
        <c:txPr>
          <a:bodyPr/>
          <a:lstStyle/>
          <a:p>
            <a:pPr>
              <a:defRPr sz="900"/>
            </a:pPr>
            <a:endParaRPr lang="en-US"/>
          </a:p>
        </c:txPr>
        <c:crossAx val="68004480"/>
        <c:crosses val="autoZero"/>
        <c:auto val="1"/>
        <c:lblAlgn val="ctr"/>
        <c:lblOffset val="100"/>
      </c:catAx>
      <c:valAx>
        <c:axId val="68004480"/>
        <c:scaling>
          <c:orientation val="minMax"/>
        </c:scaling>
        <c:axPos val="l"/>
        <c:majorGridlines/>
        <c:numFmt formatCode="General" sourceLinked="1"/>
        <c:majorTickMark val="none"/>
        <c:tickLblPos val="nextTo"/>
        <c:crossAx val="6800294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Cei care iau decizii:</a:t>
            </a:r>
            <a:endParaRPr lang="en-US"/>
          </a:p>
        </c:rich>
      </c:tx>
    </c:title>
    <c:plotArea>
      <c:layout/>
      <c:lineChart>
        <c:grouping val="standard"/>
        <c:ser>
          <c:idx val="0"/>
          <c:order val="0"/>
          <c:tx>
            <c:strRef>
              <c:f>Sheet3!$A$2</c:f>
              <c:strCache>
                <c:ptCount val="1"/>
                <c:pt idx="0">
                  <c:v>2013</c:v>
                </c:pt>
              </c:strCache>
            </c:strRef>
          </c:tx>
          <c:dLbls>
            <c:dLbl>
              <c:idx val="0"/>
              <c:layout>
                <c:manualLayout>
                  <c:x val="5.3835800807537099E-3"/>
                  <c:y val="-3.5203520352035202E-2"/>
                </c:manualLayout>
              </c:layout>
              <c:showVal val="1"/>
            </c:dLbl>
            <c:dLbl>
              <c:idx val="1"/>
              <c:layout>
                <c:manualLayout>
                  <c:x val="5.0246747420367867E-2"/>
                  <c:y val="-5.7205720572057209E-2"/>
                </c:manualLayout>
              </c:layout>
              <c:showVal val="1"/>
            </c:dLbl>
            <c:showVal val="1"/>
          </c:dLbls>
          <c:cat>
            <c:strRef>
              <c:f>Sheet3!$B$1:$D$1</c:f>
              <c:strCache>
                <c:ptCount val="3"/>
                <c:pt idx="0">
                  <c:v>Nu sunt independenţi </c:v>
                </c:pt>
                <c:pt idx="1">
                  <c:v>Au un anumit grad de libertate</c:v>
                </c:pt>
                <c:pt idx="2">
                  <c:v>Sunt cvasi-independenţi</c:v>
                </c:pt>
              </c:strCache>
            </c:strRef>
          </c:cat>
          <c:val>
            <c:numRef>
              <c:f>Sheet3!$B$2:$D$2</c:f>
              <c:numCache>
                <c:formatCode>General</c:formatCode>
                <c:ptCount val="3"/>
                <c:pt idx="0">
                  <c:v>79.400000000000006</c:v>
                </c:pt>
                <c:pt idx="1">
                  <c:v>17.5</c:v>
                </c:pt>
                <c:pt idx="2">
                  <c:v>3.2</c:v>
                </c:pt>
              </c:numCache>
            </c:numRef>
          </c:val>
        </c:ser>
        <c:ser>
          <c:idx val="1"/>
          <c:order val="1"/>
          <c:tx>
            <c:strRef>
              <c:f>Sheet3!$A$3</c:f>
              <c:strCache>
                <c:ptCount val="1"/>
                <c:pt idx="0">
                  <c:v>2016</c:v>
                </c:pt>
              </c:strCache>
            </c:strRef>
          </c:tx>
          <c:dLbls>
            <c:dLbl>
              <c:idx val="0"/>
              <c:layout>
                <c:manualLayout>
                  <c:x val="-8.613728129205922E-2"/>
                  <c:y val="2.2002200220022056E-2"/>
                </c:manualLayout>
              </c:layout>
              <c:showVal val="1"/>
            </c:dLbl>
            <c:dLbl>
              <c:idx val="1"/>
              <c:layout>
                <c:manualLayout>
                  <c:x val="-0.10228802153432032"/>
                  <c:y val="4.4004400440044106E-3"/>
                </c:manualLayout>
              </c:layout>
              <c:showVal val="1"/>
            </c:dLbl>
            <c:dLbl>
              <c:idx val="2"/>
              <c:layout>
                <c:manualLayout>
                  <c:x val="-4.3068640646029624E-2"/>
                  <c:y val="-7.9207920792079223E-2"/>
                </c:manualLayout>
              </c:layout>
              <c:showVal val="1"/>
            </c:dLbl>
            <c:showVal val="1"/>
          </c:dLbls>
          <c:cat>
            <c:strRef>
              <c:f>Sheet3!$B$1:$D$1</c:f>
              <c:strCache>
                <c:ptCount val="3"/>
                <c:pt idx="0">
                  <c:v>Nu sunt independenţi </c:v>
                </c:pt>
                <c:pt idx="1">
                  <c:v>Au un anumit grad de libertate</c:v>
                </c:pt>
                <c:pt idx="2">
                  <c:v>Sunt cvasi-independenţi</c:v>
                </c:pt>
              </c:strCache>
            </c:strRef>
          </c:cat>
          <c:val>
            <c:numRef>
              <c:f>Sheet3!$B$3:$D$3</c:f>
              <c:numCache>
                <c:formatCode>General</c:formatCode>
                <c:ptCount val="3"/>
                <c:pt idx="0">
                  <c:v>78.2</c:v>
                </c:pt>
                <c:pt idx="1">
                  <c:v>15.1</c:v>
                </c:pt>
                <c:pt idx="2">
                  <c:v>6.7</c:v>
                </c:pt>
              </c:numCache>
            </c:numRef>
          </c:val>
        </c:ser>
        <c:dLbls>
          <c:showVal val="1"/>
        </c:dLbls>
        <c:marker val="1"/>
        <c:axId val="68514560"/>
        <c:axId val="68516096"/>
      </c:lineChart>
      <c:catAx>
        <c:axId val="68514560"/>
        <c:scaling>
          <c:orientation val="minMax"/>
        </c:scaling>
        <c:axPos val="b"/>
        <c:majorTickMark val="none"/>
        <c:tickLblPos val="nextTo"/>
        <c:crossAx val="68516096"/>
        <c:crosses val="autoZero"/>
        <c:auto val="1"/>
        <c:lblAlgn val="ctr"/>
        <c:lblOffset val="100"/>
      </c:catAx>
      <c:valAx>
        <c:axId val="68516096"/>
        <c:scaling>
          <c:orientation val="minMax"/>
        </c:scaling>
        <c:axPos val="l"/>
        <c:majorGridlines/>
        <c:numFmt formatCode="General" sourceLinked="1"/>
        <c:majorTickMark val="none"/>
        <c:tickLblPos val="nextTo"/>
        <c:crossAx val="6851456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Grupul decidenților are:</a:t>
            </a:r>
            <a:endParaRPr lang="en-US"/>
          </a:p>
        </c:rich>
      </c:tx>
    </c:title>
    <c:plotArea>
      <c:layout/>
      <c:lineChart>
        <c:grouping val="standard"/>
        <c:ser>
          <c:idx val="0"/>
          <c:order val="0"/>
          <c:tx>
            <c:strRef>
              <c:f>Sheet4!$A$2</c:f>
              <c:strCache>
                <c:ptCount val="1"/>
                <c:pt idx="0">
                  <c:v>2013</c:v>
                </c:pt>
              </c:strCache>
            </c:strRef>
          </c:tx>
          <c:dLbls>
            <c:dLbl>
              <c:idx val="0"/>
              <c:layout>
                <c:manualLayout>
                  <c:x val="-8.3682008368201041E-2"/>
                  <c:y val="-9.25925925925929E-3"/>
                </c:manualLayout>
              </c:layout>
              <c:showVal val="1"/>
            </c:dLbl>
            <c:dLbl>
              <c:idx val="1"/>
              <c:layout>
                <c:manualLayout>
                  <c:x val="-5.2068805206880515E-2"/>
                  <c:y val="-9.7222222222222224E-2"/>
                </c:manualLayout>
              </c:layout>
              <c:showVal val="1"/>
            </c:dLbl>
            <c:showVal val="1"/>
          </c:dLbls>
          <c:cat>
            <c:strRef>
              <c:f>Sheet4!$B$1:$D$1</c:f>
              <c:strCache>
                <c:ptCount val="3"/>
                <c:pt idx="0">
                  <c:v>caracter unitar</c:v>
                </c:pt>
                <c:pt idx="1">
                  <c:v>caracter mobil</c:v>
                </c:pt>
                <c:pt idx="2">
                  <c:v>structură clară</c:v>
                </c:pt>
              </c:strCache>
            </c:strRef>
          </c:cat>
          <c:val>
            <c:numRef>
              <c:f>Sheet4!$B$2:$D$2</c:f>
              <c:numCache>
                <c:formatCode>General</c:formatCode>
                <c:ptCount val="3"/>
                <c:pt idx="0">
                  <c:v>13.4</c:v>
                </c:pt>
                <c:pt idx="1">
                  <c:v>11.9</c:v>
                </c:pt>
                <c:pt idx="2">
                  <c:v>74.599999999999994</c:v>
                </c:pt>
              </c:numCache>
            </c:numRef>
          </c:val>
        </c:ser>
        <c:ser>
          <c:idx val="1"/>
          <c:order val="1"/>
          <c:tx>
            <c:strRef>
              <c:f>Sheet4!$A$3</c:f>
              <c:strCache>
                <c:ptCount val="1"/>
                <c:pt idx="0">
                  <c:v>2016</c:v>
                </c:pt>
              </c:strCache>
            </c:strRef>
          </c:tx>
          <c:dLbls>
            <c:dLbl>
              <c:idx val="0"/>
              <c:layout>
                <c:manualLayout>
                  <c:x val="-8.9260808926081195E-2"/>
                  <c:y val="-1.3888888888888923E-2"/>
                </c:manualLayout>
              </c:layout>
              <c:showVal val="1"/>
            </c:dLbl>
            <c:dLbl>
              <c:idx val="1"/>
              <c:layout>
                <c:manualLayout>
                  <c:x val="3.3472803347280332E-2"/>
                  <c:y val="8.487556272013422E-17"/>
                </c:manualLayout>
              </c:layout>
              <c:showVal val="1"/>
            </c:dLbl>
            <c:dLbl>
              <c:idx val="2"/>
              <c:layout>
                <c:manualLayout>
                  <c:x val="-1.3017201301720131E-2"/>
                  <c:y val="9.2592592592592893E-2"/>
                </c:manualLayout>
              </c:layout>
              <c:showVal val="1"/>
            </c:dLbl>
            <c:showVal val="1"/>
          </c:dLbls>
          <c:cat>
            <c:strRef>
              <c:f>Sheet4!$B$1:$D$1</c:f>
              <c:strCache>
                <c:ptCount val="3"/>
                <c:pt idx="0">
                  <c:v>caracter unitar</c:v>
                </c:pt>
                <c:pt idx="1">
                  <c:v>caracter mobil</c:v>
                </c:pt>
                <c:pt idx="2">
                  <c:v>structură clară</c:v>
                </c:pt>
              </c:strCache>
            </c:strRef>
          </c:cat>
          <c:val>
            <c:numRef>
              <c:f>Sheet4!$B$3:$D$3</c:f>
              <c:numCache>
                <c:formatCode>General</c:formatCode>
                <c:ptCount val="3"/>
                <c:pt idx="0">
                  <c:v>24.6</c:v>
                </c:pt>
                <c:pt idx="1">
                  <c:v>8.5</c:v>
                </c:pt>
                <c:pt idx="2">
                  <c:v>66.900000000000006</c:v>
                </c:pt>
              </c:numCache>
            </c:numRef>
          </c:val>
        </c:ser>
        <c:dLbls>
          <c:showVal val="1"/>
        </c:dLbls>
        <c:marker val="1"/>
        <c:axId val="68630784"/>
        <c:axId val="68640768"/>
      </c:lineChart>
      <c:catAx>
        <c:axId val="68630784"/>
        <c:scaling>
          <c:orientation val="minMax"/>
        </c:scaling>
        <c:axPos val="b"/>
        <c:majorTickMark val="none"/>
        <c:tickLblPos val="nextTo"/>
        <c:crossAx val="68640768"/>
        <c:crosses val="autoZero"/>
        <c:auto val="1"/>
        <c:lblAlgn val="ctr"/>
        <c:lblOffset val="100"/>
      </c:catAx>
      <c:valAx>
        <c:axId val="68640768"/>
        <c:scaling>
          <c:orientation val="minMax"/>
        </c:scaling>
        <c:axPos val="l"/>
        <c:majorGridlines/>
        <c:numFmt formatCode="General" sourceLinked="1"/>
        <c:majorTickMark val="none"/>
        <c:tickLblPos val="nextTo"/>
        <c:crossAx val="6863078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Ierarhiile:</a:t>
            </a:r>
            <a:endParaRPr lang="en-US"/>
          </a:p>
        </c:rich>
      </c:tx>
    </c:title>
    <c:plotArea>
      <c:layout/>
      <c:lineChart>
        <c:grouping val="standard"/>
        <c:ser>
          <c:idx val="0"/>
          <c:order val="0"/>
          <c:tx>
            <c:strRef>
              <c:f>Sheet5!$A$2</c:f>
              <c:strCache>
                <c:ptCount val="1"/>
                <c:pt idx="0">
                  <c:v>2013</c:v>
                </c:pt>
              </c:strCache>
            </c:strRef>
          </c:tx>
          <c:dLbls>
            <c:dLbl>
              <c:idx val="0"/>
              <c:layout>
                <c:manualLayout>
                  <c:x val="-8.951048951048976E-2"/>
                  <c:y val="1.3888888888888919E-2"/>
                </c:manualLayout>
              </c:layout>
              <c:showVal val="1"/>
            </c:dLbl>
            <c:dLbl>
              <c:idx val="1"/>
              <c:layout>
                <c:manualLayout>
                  <c:x val="-1.8648018648018702E-3"/>
                  <c:y val="-6.481481481481495E-2"/>
                </c:manualLayout>
              </c:layout>
              <c:showVal val="1"/>
            </c:dLbl>
            <c:dLbl>
              <c:idx val="2"/>
              <c:layout>
                <c:manualLayout>
                  <c:x val="-5.5944055944055944E-3"/>
                  <c:y val="-5.5555555555555462E-2"/>
                </c:manualLayout>
              </c:layout>
              <c:showVal val="1"/>
            </c:dLbl>
            <c:showVal val="1"/>
          </c:dLbls>
          <c:cat>
            <c:strRef>
              <c:f>Sheet5!$B$1:$D$1</c:f>
              <c:strCache>
                <c:ptCount val="3"/>
                <c:pt idx="0">
                  <c:v>Sunt recunoscute</c:v>
                </c:pt>
                <c:pt idx="1">
                  <c:v>Sunt recunoscute, dar nu sunt rigide</c:v>
                </c:pt>
                <c:pt idx="2">
                  <c:v>Sunt recunoscute şi respectate, în practică sunt imposibil de realizat</c:v>
                </c:pt>
              </c:strCache>
            </c:strRef>
          </c:cat>
          <c:val>
            <c:numRef>
              <c:f>Sheet5!$B$2:$D$2</c:f>
              <c:numCache>
                <c:formatCode>General</c:formatCode>
                <c:ptCount val="3"/>
                <c:pt idx="0">
                  <c:v>56.9</c:v>
                </c:pt>
                <c:pt idx="1">
                  <c:v>26.4</c:v>
                </c:pt>
                <c:pt idx="2">
                  <c:v>16.7</c:v>
                </c:pt>
              </c:numCache>
            </c:numRef>
          </c:val>
        </c:ser>
        <c:ser>
          <c:idx val="1"/>
          <c:order val="1"/>
          <c:tx>
            <c:strRef>
              <c:f>Sheet5!$A$3</c:f>
              <c:strCache>
                <c:ptCount val="1"/>
                <c:pt idx="0">
                  <c:v>2016</c:v>
                </c:pt>
              </c:strCache>
            </c:strRef>
          </c:tx>
          <c:dLbls>
            <c:dLbl>
              <c:idx val="0"/>
              <c:layout>
                <c:manualLayout>
                  <c:x val="-8.0186480186480266E-2"/>
                  <c:y val="-1.3888888888888919E-2"/>
                </c:manualLayout>
              </c:layout>
              <c:showVal val="1"/>
            </c:dLbl>
            <c:dLbl>
              <c:idx val="1"/>
              <c:layout>
                <c:manualLayout>
                  <c:x val="-2.6107226107226149E-2"/>
                  <c:y val="0.10185185185185186"/>
                </c:manualLayout>
              </c:layout>
              <c:showVal val="1"/>
            </c:dLbl>
            <c:dLbl>
              <c:idx val="2"/>
              <c:layout>
                <c:manualLayout>
                  <c:x val="-7.4592074592074722E-3"/>
                  <c:y val="4.1666666666666664E-2"/>
                </c:manualLayout>
              </c:layout>
              <c:showVal val="1"/>
            </c:dLbl>
            <c:showVal val="1"/>
          </c:dLbls>
          <c:cat>
            <c:strRef>
              <c:f>Sheet5!$B$1:$D$1</c:f>
              <c:strCache>
                <c:ptCount val="3"/>
                <c:pt idx="0">
                  <c:v>Sunt recunoscute</c:v>
                </c:pt>
                <c:pt idx="1">
                  <c:v>Sunt recunoscute, dar nu sunt rigide</c:v>
                </c:pt>
                <c:pt idx="2">
                  <c:v>Sunt recunoscute şi respectate, în practică sunt imposibil de realizat</c:v>
                </c:pt>
              </c:strCache>
            </c:strRef>
          </c:cat>
          <c:val>
            <c:numRef>
              <c:f>Sheet5!$B$3:$D$3</c:f>
              <c:numCache>
                <c:formatCode>General</c:formatCode>
                <c:ptCount val="3"/>
                <c:pt idx="0">
                  <c:v>71.400000000000006</c:v>
                </c:pt>
                <c:pt idx="1">
                  <c:v>18.5</c:v>
                </c:pt>
                <c:pt idx="2">
                  <c:v>10.1</c:v>
                </c:pt>
              </c:numCache>
            </c:numRef>
          </c:val>
        </c:ser>
        <c:dLbls>
          <c:showVal val="1"/>
        </c:dLbls>
        <c:marker val="1"/>
        <c:axId val="69393024"/>
        <c:axId val="81638528"/>
      </c:lineChart>
      <c:catAx>
        <c:axId val="69393024"/>
        <c:scaling>
          <c:orientation val="minMax"/>
        </c:scaling>
        <c:axPos val="b"/>
        <c:majorTickMark val="none"/>
        <c:tickLblPos val="nextTo"/>
        <c:txPr>
          <a:bodyPr/>
          <a:lstStyle/>
          <a:p>
            <a:pPr>
              <a:defRPr sz="900"/>
            </a:pPr>
            <a:endParaRPr lang="en-US"/>
          </a:p>
        </c:txPr>
        <c:crossAx val="81638528"/>
        <c:crosses val="autoZero"/>
        <c:auto val="1"/>
        <c:lblAlgn val="ctr"/>
        <c:lblOffset val="100"/>
      </c:catAx>
      <c:valAx>
        <c:axId val="81638528"/>
        <c:scaling>
          <c:orientation val="minMax"/>
        </c:scaling>
        <c:axPos val="l"/>
        <c:majorGridlines/>
        <c:numFmt formatCode="General" sourceLinked="1"/>
        <c:majorTickMark val="none"/>
        <c:tickLblPos val="nextTo"/>
        <c:crossAx val="69393024"/>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La nivelul departamentului/biroului</a:t>
            </a:r>
            <a:r>
              <a:rPr lang="ro-RO" baseline="0"/>
              <a:t> în care lucrați:</a:t>
            </a:r>
            <a:endParaRPr lang="en-US"/>
          </a:p>
        </c:rich>
      </c:tx>
    </c:title>
    <c:plotArea>
      <c:layout/>
      <c:lineChart>
        <c:grouping val="standard"/>
        <c:ser>
          <c:idx val="0"/>
          <c:order val="0"/>
          <c:tx>
            <c:strRef>
              <c:f>Sheet6!$A$2</c:f>
              <c:strCache>
                <c:ptCount val="1"/>
                <c:pt idx="0">
                  <c:v>2013</c:v>
                </c:pt>
              </c:strCache>
            </c:strRef>
          </c:tx>
          <c:dLbls>
            <c:dLbl>
              <c:idx val="0"/>
              <c:layout>
                <c:manualLayout>
                  <c:x val="-9.2517006802721083E-2"/>
                  <c:y val="4.6296296296296391E-2"/>
                </c:manualLayout>
              </c:layout>
              <c:showVal val="1"/>
            </c:dLbl>
            <c:dLbl>
              <c:idx val="1"/>
              <c:layout>
                <c:manualLayout>
                  <c:x val="-0.10702947845805011"/>
                  <c:y val="-2.7777777777777863E-2"/>
                </c:manualLayout>
              </c:layout>
              <c:showVal val="1"/>
            </c:dLbl>
            <c:showVal val="1"/>
          </c:dLbls>
          <c:cat>
            <c:strRef>
              <c:f>Sheet6!$B$1:$D$1</c:f>
              <c:strCache>
                <c:ptCount val="3"/>
                <c:pt idx="0">
                  <c:v> Există o distanţă faţă de conducere      spre execuţie</c:v>
                </c:pt>
                <c:pt idx="1">
                  <c:v> Angajaţii pot conduce, dar şi executa.</c:v>
                </c:pt>
                <c:pt idx="2">
                  <c:v>Superiorii conduc iar angajaţii execută.</c:v>
                </c:pt>
              </c:strCache>
            </c:strRef>
          </c:cat>
          <c:val>
            <c:numRef>
              <c:f>Sheet6!$B$2:$D$2</c:f>
              <c:numCache>
                <c:formatCode>General</c:formatCode>
                <c:ptCount val="3"/>
                <c:pt idx="0">
                  <c:v>21.2</c:v>
                </c:pt>
                <c:pt idx="1">
                  <c:v>34.800000000000004</c:v>
                </c:pt>
                <c:pt idx="2">
                  <c:v>43.9</c:v>
                </c:pt>
              </c:numCache>
            </c:numRef>
          </c:val>
        </c:ser>
        <c:ser>
          <c:idx val="1"/>
          <c:order val="1"/>
          <c:tx>
            <c:strRef>
              <c:f>Sheet6!$A$3</c:f>
              <c:strCache>
                <c:ptCount val="1"/>
                <c:pt idx="0">
                  <c:v>2016</c:v>
                </c:pt>
              </c:strCache>
            </c:strRef>
          </c:tx>
          <c:dLbls>
            <c:dLbl>
              <c:idx val="0"/>
              <c:layout>
                <c:manualLayout>
                  <c:x val="-7.0748299319727911E-2"/>
                  <c:y val="-4.1666666666666664E-2"/>
                </c:manualLayout>
              </c:layout>
              <c:showVal val="1"/>
            </c:dLbl>
            <c:dLbl>
              <c:idx val="1"/>
              <c:layout>
                <c:manualLayout>
                  <c:x val="-2.9024943310657598E-2"/>
                  <c:y val="9.7221857684456167E-2"/>
                </c:manualLayout>
              </c:layout>
              <c:showVal val="1"/>
            </c:dLbl>
            <c:dLbl>
              <c:idx val="2"/>
              <c:layout>
                <c:manualLayout>
                  <c:x val="-7.6190476190476197E-2"/>
                  <c:y val="-2.7777777777777832E-2"/>
                </c:manualLayout>
              </c:layout>
              <c:showVal val="1"/>
            </c:dLbl>
            <c:showVal val="1"/>
          </c:dLbls>
          <c:cat>
            <c:strRef>
              <c:f>Sheet6!$B$1:$D$1</c:f>
              <c:strCache>
                <c:ptCount val="3"/>
                <c:pt idx="0">
                  <c:v> Există o distanţă faţă de conducere      spre execuţie</c:v>
                </c:pt>
                <c:pt idx="1">
                  <c:v> Angajaţii pot conduce, dar şi executa.</c:v>
                </c:pt>
                <c:pt idx="2">
                  <c:v>Superiorii conduc iar angajaţii execută.</c:v>
                </c:pt>
              </c:strCache>
            </c:strRef>
          </c:cat>
          <c:val>
            <c:numRef>
              <c:f>Sheet6!$B$3:$D$3</c:f>
              <c:numCache>
                <c:formatCode>General</c:formatCode>
                <c:ptCount val="3"/>
                <c:pt idx="0">
                  <c:v>24</c:v>
                </c:pt>
                <c:pt idx="1">
                  <c:v>31.2</c:v>
                </c:pt>
                <c:pt idx="2">
                  <c:v>44.8</c:v>
                </c:pt>
              </c:numCache>
            </c:numRef>
          </c:val>
        </c:ser>
        <c:dLbls>
          <c:showVal val="1"/>
        </c:dLbls>
        <c:marker val="1"/>
        <c:axId val="81999744"/>
        <c:axId val="82001280"/>
      </c:lineChart>
      <c:catAx>
        <c:axId val="81999744"/>
        <c:scaling>
          <c:orientation val="minMax"/>
        </c:scaling>
        <c:axPos val="b"/>
        <c:majorTickMark val="none"/>
        <c:tickLblPos val="nextTo"/>
        <c:crossAx val="82001280"/>
        <c:crosses val="autoZero"/>
        <c:auto val="1"/>
        <c:lblAlgn val="ctr"/>
        <c:lblOffset val="100"/>
      </c:catAx>
      <c:valAx>
        <c:axId val="82001280"/>
        <c:scaling>
          <c:orientation val="minMax"/>
        </c:scaling>
        <c:axPos val="l"/>
        <c:majorGridlines/>
        <c:numFmt formatCode="General" sourceLinked="1"/>
        <c:majorTickMark val="none"/>
        <c:tickLblPos val="nextTo"/>
        <c:crossAx val="81999744"/>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În biroul în are lucrați:</a:t>
            </a:r>
            <a:endParaRPr lang="en-US"/>
          </a:p>
        </c:rich>
      </c:tx>
    </c:title>
    <c:plotArea>
      <c:layout/>
      <c:lineChart>
        <c:grouping val="standard"/>
        <c:ser>
          <c:idx val="0"/>
          <c:order val="0"/>
          <c:tx>
            <c:strRef>
              <c:f>Sheet7!$A$2</c:f>
              <c:strCache>
                <c:ptCount val="1"/>
                <c:pt idx="0">
                  <c:v>2013</c:v>
                </c:pt>
              </c:strCache>
            </c:strRef>
          </c:tx>
          <c:dLbls>
            <c:dLbl>
              <c:idx val="0"/>
              <c:layout>
                <c:manualLayout>
                  <c:x val="-6.7988668555240814E-2"/>
                  <c:y val="3.7037037037037195E-2"/>
                </c:manualLayout>
              </c:layout>
              <c:showVal val="1"/>
            </c:dLbl>
            <c:dLbl>
              <c:idx val="1"/>
              <c:layout>
                <c:manualLayout>
                  <c:x val="-7.1765816808309721E-2"/>
                  <c:y val="-5.0925925925925923E-2"/>
                </c:manualLayout>
              </c:layout>
              <c:showVal val="1"/>
            </c:dLbl>
            <c:dLbl>
              <c:idx val="2"/>
              <c:layout>
                <c:manualLayout>
                  <c:x val="-6.6100094428706443E-2"/>
                  <c:y val="6.0185185185185147E-2"/>
                </c:manualLayout>
              </c:layout>
              <c:showVal val="1"/>
            </c:dLbl>
            <c:showVal val="1"/>
          </c:dLbls>
          <c:cat>
            <c:strRef>
              <c:f>Sheet7!$B$1:$D$1</c:f>
              <c:strCache>
                <c:ptCount val="3"/>
                <c:pt idx="0">
                  <c:v>Cei care decid iau mereu decizii  bune.  </c:v>
                </c:pt>
                <c:pt idx="1">
                  <c:v>Decidenţii pot greşi uneori  când iau decizii                </c:v>
                </c:pt>
                <c:pt idx="2">
                  <c:v>Decidenţii nu pot greşi căci astfel încalcă regulile.</c:v>
                </c:pt>
              </c:strCache>
            </c:strRef>
          </c:cat>
          <c:val>
            <c:numRef>
              <c:f>Sheet7!$B$2:$D$2</c:f>
              <c:numCache>
                <c:formatCode>General</c:formatCode>
                <c:ptCount val="3"/>
                <c:pt idx="0">
                  <c:v>27.9</c:v>
                </c:pt>
                <c:pt idx="1">
                  <c:v>59</c:v>
                </c:pt>
                <c:pt idx="2">
                  <c:v>13.1</c:v>
                </c:pt>
              </c:numCache>
            </c:numRef>
          </c:val>
        </c:ser>
        <c:ser>
          <c:idx val="1"/>
          <c:order val="1"/>
          <c:tx>
            <c:strRef>
              <c:f>Sheet7!$A$3</c:f>
              <c:strCache>
                <c:ptCount val="1"/>
                <c:pt idx="0">
                  <c:v>2016</c:v>
                </c:pt>
              </c:strCache>
            </c:strRef>
          </c:tx>
          <c:dLbls>
            <c:dLbl>
              <c:idx val="0"/>
              <c:layout>
                <c:manualLayout>
                  <c:x val="-5.2880075542965074E-2"/>
                  <c:y val="-6.481481481481495E-2"/>
                </c:manualLayout>
              </c:layout>
              <c:showVal val="1"/>
            </c:dLbl>
            <c:dLbl>
              <c:idx val="1"/>
              <c:layout>
                <c:manualLayout>
                  <c:x val="-6.2322946175637432E-2"/>
                  <c:y val="7.8703703703703734E-2"/>
                </c:manualLayout>
              </c:layout>
              <c:showVal val="1"/>
            </c:dLbl>
            <c:dLbl>
              <c:idx val="2"/>
              <c:layout>
                <c:manualLayout>
                  <c:x val="-2.0774315391879201E-2"/>
                  <c:y val="-5.5555555555555462E-2"/>
                </c:manualLayout>
              </c:layout>
              <c:showVal val="1"/>
            </c:dLbl>
            <c:showVal val="1"/>
          </c:dLbls>
          <c:cat>
            <c:strRef>
              <c:f>Sheet7!$B$1:$D$1</c:f>
              <c:strCache>
                <c:ptCount val="3"/>
                <c:pt idx="0">
                  <c:v>Cei care decid iau mereu decizii  bune.  </c:v>
                </c:pt>
                <c:pt idx="1">
                  <c:v>Decidenţii pot greşi uneori  când iau decizii                </c:v>
                </c:pt>
                <c:pt idx="2">
                  <c:v>Decidenţii nu pot greşi căci astfel încalcă regulile.</c:v>
                </c:pt>
              </c:strCache>
            </c:strRef>
          </c:cat>
          <c:val>
            <c:numRef>
              <c:f>Sheet7!$B$3:$D$3</c:f>
              <c:numCache>
                <c:formatCode>General</c:formatCode>
                <c:ptCount val="3"/>
                <c:pt idx="0">
                  <c:v>38.1</c:v>
                </c:pt>
                <c:pt idx="1">
                  <c:v>43.7</c:v>
                </c:pt>
                <c:pt idx="2">
                  <c:v>18.3</c:v>
                </c:pt>
              </c:numCache>
            </c:numRef>
          </c:val>
        </c:ser>
        <c:dLbls>
          <c:showVal val="1"/>
        </c:dLbls>
        <c:marker val="1"/>
        <c:axId val="87368832"/>
        <c:axId val="87371136"/>
      </c:lineChart>
      <c:catAx>
        <c:axId val="87368832"/>
        <c:scaling>
          <c:orientation val="minMax"/>
        </c:scaling>
        <c:axPos val="b"/>
        <c:majorTickMark val="none"/>
        <c:tickLblPos val="nextTo"/>
        <c:crossAx val="87371136"/>
        <c:crosses val="autoZero"/>
        <c:auto val="1"/>
        <c:lblAlgn val="ctr"/>
        <c:lblOffset val="100"/>
      </c:catAx>
      <c:valAx>
        <c:axId val="87371136"/>
        <c:scaling>
          <c:orientation val="minMax"/>
        </c:scaling>
        <c:axPos val="l"/>
        <c:majorGridlines/>
        <c:numFmt formatCode="General" sourceLinked="1"/>
        <c:majorTickMark val="none"/>
        <c:tickLblPos val="nextTo"/>
        <c:crossAx val="87368832"/>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o-RO"/>
              <a:t>În biroul în care lucrați:</a:t>
            </a:r>
            <a:endParaRPr lang="en-US"/>
          </a:p>
        </c:rich>
      </c:tx>
    </c:title>
    <c:plotArea>
      <c:layout>
        <c:manualLayout>
          <c:layoutTarget val="inner"/>
          <c:xMode val="edge"/>
          <c:yMode val="edge"/>
          <c:x val="6.1446114690209157E-2"/>
          <c:y val="0.20869240303295444"/>
          <c:w val="0.80263469339060056"/>
          <c:h val="0.56069808982210567"/>
        </c:manualLayout>
      </c:layout>
      <c:lineChart>
        <c:grouping val="standard"/>
        <c:ser>
          <c:idx val="0"/>
          <c:order val="0"/>
          <c:tx>
            <c:strRef>
              <c:f>Sheet8!$A$2</c:f>
              <c:strCache>
                <c:ptCount val="1"/>
                <c:pt idx="0">
                  <c:v>2013</c:v>
                </c:pt>
              </c:strCache>
            </c:strRef>
          </c:tx>
          <c:dLbls>
            <c:dLbl>
              <c:idx val="0"/>
              <c:layout>
                <c:manualLayout>
                  <c:x val="-7.0707070707070704E-2"/>
                  <c:y val="5.0925925925925923E-2"/>
                </c:manualLayout>
              </c:layout>
              <c:showVal val="1"/>
            </c:dLbl>
            <c:dLbl>
              <c:idx val="1"/>
              <c:layout>
                <c:manualLayout>
                  <c:x val="-4.0404040404040414E-2"/>
                  <c:y val="6.9444444444444503E-2"/>
                </c:manualLayout>
              </c:layout>
              <c:showVal val="1"/>
            </c:dLbl>
            <c:dLbl>
              <c:idx val="2"/>
              <c:layout>
                <c:manualLayout>
                  <c:x val="0"/>
                  <c:y val="4.1666666666666664E-2"/>
                </c:manualLayout>
              </c:layout>
              <c:showVal val="1"/>
            </c:dLbl>
            <c:showVal val="1"/>
          </c:dLbls>
          <c:cat>
            <c:strRef>
              <c:f>Sheet8!$B$1:$D$1</c:f>
              <c:strCache>
                <c:ptCount val="3"/>
                <c:pt idx="0">
                  <c:v> Motivaţiile personale se recunosc dar se supun.                         </c:v>
                </c:pt>
                <c:pt idx="1">
                  <c:v> Motivaţiile personale se recunosc şi pot fi influenţate de deciziile deja luate.      </c:v>
                </c:pt>
                <c:pt idx="2">
                  <c:v>Motivaţiile individuale există dar cel mai puternic are câştig de cauză.</c:v>
                </c:pt>
              </c:strCache>
            </c:strRef>
          </c:cat>
          <c:val>
            <c:numRef>
              <c:f>Sheet8!$B$2:$D$2</c:f>
              <c:numCache>
                <c:formatCode>General</c:formatCode>
                <c:ptCount val="3"/>
                <c:pt idx="0">
                  <c:v>34</c:v>
                </c:pt>
                <c:pt idx="1">
                  <c:v>52.8</c:v>
                </c:pt>
                <c:pt idx="2">
                  <c:v>13.2</c:v>
                </c:pt>
              </c:numCache>
            </c:numRef>
          </c:val>
        </c:ser>
        <c:ser>
          <c:idx val="1"/>
          <c:order val="1"/>
          <c:tx>
            <c:strRef>
              <c:f>Sheet8!$A$3</c:f>
              <c:strCache>
                <c:ptCount val="1"/>
                <c:pt idx="0">
                  <c:v>2016</c:v>
                </c:pt>
              </c:strCache>
            </c:strRef>
          </c:tx>
          <c:dLbls>
            <c:dLbl>
              <c:idx val="0"/>
              <c:layout>
                <c:manualLayout>
                  <c:x val="-7.8787878787878782E-2"/>
                  <c:y val="-9.2592592592592952E-3"/>
                </c:manualLayout>
              </c:layout>
              <c:showVal val="1"/>
            </c:dLbl>
            <c:dLbl>
              <c:idx val="1"/>
              <c:layout>
                <c:manualLayout>
                  <c:x val="-1.2121212121212118E-2"/>
                  <c:y val="-4.6296296296296398E-2"/>
                </c:manualLayout>
              </c:layout>
              <c:showVal val="1"/>
            </c:dLbl>
            <c:dLbl>
              <c:idx val="2"/>
              <c:layout>
                <c:manualLayout>
                  <c:x val="0"/>
                  <c:y val="-4.6296296296296391E-2"/>
                </c:manualLayout>
              </c:layout>
              <c:showVal val="1"/>
            </c:dLbl>
            <c:showVal val="1"/>
          </c:dLbls>
          <c:cat>
            <c:strRef>
              <c:f>Sheet8!$B$1:$D$1</c:f>
              <c:strCache>
                <c:ptCount val="3"/>
                <c:pt idx="0">
                  <c:v> Motivaţiile personale se recunosc dar se supun.                         </c:v>
                </c:pt>
                <c:pt idx="1">
                  <c:v> Motivaţiile personale se recunosc şi pot fi influenţate de deciziile deja luate.      </c:v>
                </c:pt>
                <c:pt idx="2">
                  <c:v>Motivaţiile individuale există dar cel mai puternic are câştig de cauză.</c:v>
                </c:pt>
              </c:strCache>
            </c:strRef>
          </c:cat>
          <c:val>
            <c:numRef>
              <c:f>Sheet8!$B$3:$D$3</c:f>
              <c:numCache>
                <c:formatCode>General</c:formatCode>
                <c:ptCount val="3"/>
                <c:pt idx="0">
                  <c:v>56.3</c:v>
                </c:pt>
                <c:pt idx="1">
                  <c:v>22.2</c:v>
                </c:pt>
                <c:pt idx="2">
                  <c:v>21.4</c:v>
                </c:pt>
              </c:numCache>
            </c:numRef>
          </c:val>
        </c:ser>
        <c:dLbls>
          <c:showVal val="1"/>
        </c:dLbls>
        <c:marker val="1"/>
        <c:axId val="81783040"/>
        <c:axId val="86638592"/>
      </c:lineChart>
      <c:catAx>
        <c:axId val="81783040"/>
        <c:scaling>
          <c:orientation val="minMax"/>
        </c:scaling>
        <c:axPos val="b"/>
        <c:majorTickMark val="none"/>
        <c:tickLblPos val="nextTo"/>
        <c:txPr>
          <a:bodyPr/>
          <a:lstStyle/>
          <a:p>
            <a:pPr>
              <a:defRPr sz="800"/>
            </a:pPr>
            <a:endParaRPr lang="en-US"/>
          </a:p>
        </c:txPr>
        <c:crossAx val="86638592"/>
        <c:crosses val="autoZero"/>
        <c:auto val="1"/>
        <c:lblAlgn val="ctr"/>
        <c:lblOffset val="100"/>
      </c:catAx>
      <c:valAx>
        <c:axId val="86638592"/>
        <c:scaling>
          <c:orientation val="minMax"/>
        </c:scaling>
        <c:axPos val="l"/>
        <c:majorGridlines/>
        <c:numFmt formatCode="General" sourceLinked="1"/>
        <c:majorTickMark val="none"/>
        <c:tickLblPos val="nextTo"/>
        <c:crossAx val="8178304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539E-349B-455C-8BBD-F3BF6A6F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79</cp:revision>
  <dcterms:created xsi:type="dcterms:W3CDTF">2017-01-28T05:22:00Z</dcterms:created>
  <dcterms:modified xsi:type="dcterms:W3CDTF">2017-01-29T09:17:00Z</dcterms:modified>
</cp:coreProperties>
</file>