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515" w:rsidRPr="0083045F" w:rsidRDefault="00B6737F" w:rsidP="0083045F">
      <w:pPr>
        <w:spacing w:line="240" w:lineRule="auto"/>
        <w:jc w:val="center"/>
        <w:rPr>
          <w:rFonts w:cs="Times New Roman"/>
          <w:b/>
          <w:sz w:val="28"/>
        </w:rPr>
      </w:pPr>
      <w:r w:rsidRPr="0083045F">
        <w:rPr>
          <w:rFonts w:cs="Times New Roman"/>
          <w:b/>
          <w:sz w:val="28"/>
        </w:rPr>
        <w:t>PROVOCĂRILE GUVERNANȚEI CORPORATIVE ȘI ALE AUDITULUI ÎN RAPORT CU PERFORMANȚA FINANCIARĂ – TENDINȚE, LIMITĂRI ȘI DIRECȚII DE URMAT</w:t>
      </w:r>
    </w:p>
    <w:p w:rsidR="005D4515" w:rsidRPr="0083045F" w:rsidRDefault="005D4515" w:rsidP="0083045F">
      <w:pPr>
        <w:spacing w:line="240" w:lineRule="auto"/>
        <w:rPr>
          <w:rFonts w:cs="Times New Roman"/>
        </w:rPr>
      </w:pPr>
    </w:p>
    <w:p w:rsidR="00B6737F" w:rsidRPr="0083045F" w:rsidRDefault="00B6737F" w:rsidP="0083045F">
      <w:pPr>
        <w:spacing w:line="240" w:lineRule="auto"/>
        <w:rPr>
          <w:rFonts w:cs="Times New Roman"/>
        </w:rPr>
      </w:pPr>
    </w:p>
    <w:p w:rsidR="0083045F" w:rsidRPr="0083045F" w:rsidRDefault="0083045F" w:rsidP="0083045F">
      <w:pPr>
        <w:spacing w:line="240" w:lineRule="auto"/>
        <w:rPr>
          <w:rFonts w:cs="Times New Roman"/>
        </w:rPr>
      </w:pPr>
    </w:p>
    <w:p w:rsidR="0083045F" w:rsidRPr="0083045F" w:rsidRDefault="0083045F" w:rsidP="0083045F">
      <w:pPr>
        <w:spacing w:line="240" w:lineRule="auto"/>
        <w:rPr>
          <w:rFonts w:cs="Times New Roman"/>
        </w:rPr>
      </w:pPr>
    </w:p>
    <w:p w:rsidR="00B6737F" w:rsidRPr="0083045F" w:rsidRDefault="00B6737F" w:rsidP="0083045F">
      <w:pPr>
        <w:spacing w:line="240" w:lineRule="auto"/>
        <w:rPr>
          <w:rFonts w:cs="Times New Roman"/>
        </w:rPr>
      </w:pPr>
    </w:p>
    <w:p w:rsidR="005D4515" w:rsidRPr="0083045F" w:rsidRDefault="005D4515" w:rsidP="0083045F">
      <w:pPr>
        <w:spacing w:line="240" w:lineRule="auto"/>
        <w:rPr>
          <w:rFonts w:cs="Times New Roman"/>
          <w:b/>
          <w:i/>
          <w:sz w:val="20"/>
          <w:szCs w:val="20"/>
        </w:rPr>
      </w:pPr>
      <w:r w:rsidRPr="0083045F">
        <w:rPr>
          <w:rFonts w:cs="Times New Roman"/>
          <w:b/>
          <w:i/>
          <w:sz w:val="20"/>
          <w:szCs w:val="20"/>
        </w:rPr>
        <w:t>Abstract</w:t>
      </w:r>
    </w:p>
    <w:p w:rsidR="005D4515" w:rsidRPr="0083045F" w:rsidRDefault="005D4515" w:rsidP="0083045F">
      <w:pPr>
        <w:spacing w:line="240" w:lineRule="auto"/>
        <w:rPr>
          <w:rStyle w:val="apple-converted-space"/>
          <w:rFonts w:cs="Times New Roman"/>
          <w:i/>
          <w:sz w:val="20"/>
          <w:szCs w:val="20"/>
          <w:shd w:val="clear" w:color="auto" w:fill="FFFFFF"/>
        </w:rPr>
      </w:pPr>
      <w:r w:rsidRPr="0083045F">
        <w:rPr>
          <w:rFonts w:cs="Times New Roman"/>
          <w:i/>
          <w:sz w:val="20"/>
          <w:szCs w:val="20"/>
        </w:rPr>
        <w:t xml:space="preserve">Prin intermediul acestei lucrări ne propunem să identificăm și să prezentăm cele mai recente tendințe în </w:t>
      </w:r>
      <w:r w:rsidR="005066C7" w:rsidRPr="0083045F">
        <w:rPr>
          <w:rFonts w:cs="Times New Roman"/>
          <w:i/>
          <w:sz w:val="20"/>
          <w:szCs w:val="20"/>
        </w:rPr>
        <w:t>valorificarea caracteristicilor de guvernanță corporativă ș</w:t>
      </w:r>
      <w:r w:rsidR="001A02E2" w:rsidRPr="0083045F">
        <w:rPr>
          <w:rFonts w:cs="Times New Roman"/>
          <w:i/>
          <w:sz w:val="20"/>
          <w:szCs w:val="20"/>
        </w:rPr>
        <w:t xml:space="preserve">i audit în raport cu performanța întreprinderii, </w:t>
      </w:r>
      <w:r w:rsidR="0097127E" w:rsidRPr="0083045F">
        <w:rPr>
          <w:rFonts w:cs="Times New Roman"/>
          <w:i/>
          <w:sz w:val="20"/>
          <w:szCs w:val="20"/>
        </w:rPr>
        <w:t>evaluată</w:t>
      </w:r>
      <w:r w:rsidR="001A02E2" w:rsidRPr="0083045F">
        <w:rPr>
          <w:rFonts w:cs="Times New Roman"/>
          <w:i/>
          <w:sz w:val="20"/>
          <w:szCs w:val="20"/>
        </w:rPr>
        <w:t xml:space="preserve"> din punct de vedere financiar</w:t>
      </w:r>
      <w:r w:rsidR="005066C7" w:rsidRPr="0083045F">
        <w:rPr>
          <w:rFonts w:cs="Times New Roman"/>
          <w:i/>
          <w:sz w:val="20"/>
          <w:szCs w:val="20"/>
        </w:rPr>
        <w:t xml:space="preserve">. Cercetarea </w:t>
      </w:r>
      <w:r w:rsidR="0097127E" w:rsidRPr="0083045F">
        <w:rPr>
          <w:rFonts w:cs="Times New Roman"/>
          <w:i/>
          <w:sz w:val="20"/>
          <w:szCs w:val="20"/>
        </w:rPr>
        <w:t>noastră</w:t>
      </w:r>
      <w:r w:rsidR="005066C7" w:rsidRPr="0083045F">
        <w:rPr>
          <w:rFonts w:cs="Times New Roman"/>
          <w:i/>
          <w:sz w:val="20"/>
          <w:szCs w:val="20"/>
        </w:rPr>
        <w:t xml:space="preserve"> este de tip </w:t>
      </w:r>
      <w:r w:rsidR="00CE48D7" w:rsidRPr="0083045F">
        <w:rPr>
          <w:rFonts w:cs="Times New Roman"/>
          <w:i/>
          <w:sz w:val="20"/>
          <w:szCs w:val="20"/>
        </w:rPr>
        <w:t>calitativ</w:t>
      </w:r>
      <w:r w:rsidR="001A02E2" w:rsidRPr="0083045F">
        <w:rPr>
          <w:rFonts w:cs="Times New Roman"/>
          <w:i/>
          <w:sz w:val="20"/>
          <w:szCs w:val="20"/>
        </w:rPr>
        <w:t xml:space="preserve">, </w:t>
      </w:r>
      <w:r w:rsidR="00CE48D7" w:rsidRPr="0083045F">
        <w:rPr>
          <w:rFonts w:cs="Times New Roman"/>
          <w:i/>
          <w:sz w:val="20"/>
          <w:szCs w:val="20"/>
        </w:rPr>
        <w:t>în</w:t>
      </w:r>
      <w:r w:rsidR="000B1B68" w:rsidRPr="0083045F">
        <w:rPr>
          <w:rFonts w:cs="Times New Roman"/>
          <w:i/>
          <w:sz w:val="20"/>
          <w:szCs w:val="20"/>
        </w:rPr>
        <w:t>trucât acoperă o mare varietate de abordări</w:t>
      </w:r>
      <w:r w:rsidR="00AC2F84" w:rsidRPr="0083045F">
        <w:rPr>
          <w:rFonts w:cs="Times New Roman"/>
          <w:i/>
          <w:sz w:val="20"/>
          <w:szCs w:val="20"/>
        </w:rPr>
        <w:t xml:space="preserve"> din perspectiva academicienilor precum și a practicienilor din domeniu</w:t>
      </w:r>
      <w:r w:rsidR="000B1B68" w:rsidRPr="0083045F">
        <w:rPr>
          <w:rFonts w:cs="Times New Roman"/>
          <w:i/>
          <w:sz w:val="20"/>
          <w:szCs w:val="20"/>
        </w:rPr>
        <w:t xml:space="preserve">. În acest sens, am consultat cele mai importante resurse electronice de documentare științifice din lume, cum ar fi: Thomson Reuters Web of Science, </w:t>
      </w:r>
      <w:r w:rsidR="000B1B68" w:rsidRPr="0083045F">
        <w:rPr>
          <w:rFonts w:cs="Times New Roman"/>
          <w:i/>
          <w:sz w:val="20"/>
          <w:szCs w:val="20"/>
          <w:shd w:val="clear" w:color="auto" w:fill="FFFFFF"/>
        </w:rPr>
        <w:t>platforma SpringerLink, PROQUEST Central, Oxford Journals</w:t>
      </w:r>
      <w:r w:rsidR="00AC2F84" w:rsidRPr="0083045F">
        <w:rPr>
          <w:rFonts w:cs="Times New Roman"/>
          <w:i/>
          <w:sz w:val="20"/>
          <w:szCs w:val="20"/>
          <w:shd w:val="clear" w:color="auto" w:fill="FFFFFF"/>
        </w:rPr>
        <w:t>, Emerald Journals, precum și alte platforme de cercetare</w:t>
      </w:r>
      <w:r w:rsidR="00883DA6" w:rsidRPr="0083045F">
        <w:rPr>
          <w:rStyle w:val="apple-converted-space"/>
          <w:rFonts w:cs="Times New Roman"/>
          <w:i/>
          <w:sz w:val="20"/>
          <w:szCs w:val="20"/>
          <w:shd w:val="clear" w:color="auto" w:fill="FFFFFF"/>
        </w:rPr>
        <w:t xml:space="preserve">. </w:t>
      </w:r>
      <w:r w:rsidR="005F3519" w:rsidRPr="0083045F">
        <w:rPr>
          <w:rStyle w:val="apple-converted-space"/>
          <w:rFonts w:cs="Times New Roman"/>
          <w:i/>
          <w:sz w:val="20"/>
          <w:szCs w:val="20"/>
          <w:shd w:val="clear" w:color="auto" w:fill="FFFFFF"/>
        </w:rPr>
        <w:t xml:space="preserve"> Aportul acestei cercetări</w:t>
      </w:r>
      <w:r w:rsidR="00AC2F84" w:rsidRPr="0083045F">
        <w:rPr>
          <w:rStyle w:val="apple-converted-space"/>
          <w:rFonts w:cs="Times New Roman"/>
          <w:i/>
          <w:sz w:val="20"/>
          <w:szCs w:val="20"/>
          <w:shd w:val="clear" w:color="auto" w:fill="FFFFFF"/>
        </w:rPr>
        <w:t xml:space="preserve"> este unul valoros este unul valoros atat pentru cercetătorii din aria financiar-contabila cât și pentru practicieni, și vizează </w:t>
      </w:r>
      <w:r w:rsidR="005F3519" w:rsidRPr="0083045F">
        <w:rPr>
          <w:rStyle w:val="apple-converted-space"/>
          <w:rFonts w:cs="Times New Roman"/>
          <w:i/>
          <w:sz w:val="20"/>
          <w:szCs w:val="20"/>
          <w:shd w:val="clear" w:color="auto" w:fill="FFFFFF"/>
        </w:rPr>
        <w:t xml:space="preserve">identificarea provocărilor recente ale guvernanței corporative și auditului în influențarea performanței financiare a marilor companii din întreaga lume. </w:t>
      </w:r>
      <w:r w:rsidR="00E27D09" w:rsidRPr="0083045F">
        <w:rPr>
          <w:rStyle w:val="apple-converted-space"/>
          <w:rFonts w:cs="Times New Roman"/>
          <w:i/>
          <w:sz w:val="20"/>
          <w:szCs w:val="20"/>
          <w:shd w:val="clear" w:color="auto" w:fill="FFFFFF"/>
        </w:rPr>
        <w:t xml:space="preserve">Am analizat o </w:t>
      </w:r>
      <w:r w:rsidR="005F3519" w:rsidRPr="0083045F">
        <w:rPr>
          <w:rStyle w:val="apple-converted-space"/>
          <w:rFonts w:cs="Times New Roman"/>
          <w:i/>
          <w:sz w:val="20"/>
          <w:szCs w:val="20"/>
          <w:shd w:val="clear" w:color="auto" w:fill="FFFFFF"/>
        </w:rPr>
        <w:t>varietate de publicații științifice cu privire la acest subiect</w:t>
      </w:r>
      <w:r w:rsidR="00E27D09" w:rsidRPr="0083045F">
        <w:rPr>
          <w:rStyle w:val="apple-converted-space"/>
          <w:rFonts w:cs="Times New Roman"/>
          <w:i/>
          <w:sz w:val="20"/>
          <w:szCs w:val="20"/>
          <w:shd w:val="clear" w:color="auto" w:fill="FFFFFF"/>
        </w:rPr>
        <w:t xml:space="preserve">, peste 70 de studii empirice efectuate în US, China, Rusia, Japonia, India, </w:t>
      </w:r>
      <w:r w:rsidR="0097127E" w:rsidRPr="0083045F">
        <w:rPr>
          <w:rStyle w:val="apple-converted-space"/>
          <w:rFonts w:cs="Times New Roman"/>
          <w:i/>
          <w:sz w:val="20"/>
          <w:szCs w:val="20"/>
          <w:shd w:val="clear" w:color="auto" w:fill="FFFFFF"/>
        </w:rPr>
        <w:t>Malaysia</w:t>
      </w:r>
      <w:r w:rsidR="00E27D09" w:rsidRPr="0083045F">
        <w:rPr>
          <w:rStyle w:val="apple-converted-space"/>
          <w:rFonts w:cs="Times New Roman"/>
          <w:i/>
          <w:sz w:val="20"/>
          <w:szCs w:val="20"/>
          <w:shd w:val="clear" w:color="auto" w:fill="FFFFFF"/>
        </w:rPr>
        <w:t xml:space="preserve">, țările arabe, UK, Germania, Spania, România, etc. În urma cercetării am realizat o platformă cu variabile reprezentative pentru guvernanța </w:t>
      </w:r>
      <w:r w:rsidR="0097127E" w:rsidRPr="0083045F">
        <w:rPr>
          <w:rStyle w:val="apple-converted-space"/>
          <w:rFonts w:cs="Times New Roman"/>
          <w:i/>
          <w:sz w:val="20"/>
          <w:szCs w:val="20"/>
          <w:shd w:val="clear" w:color="auto" w:fill="FFFFFF"/>
        </w:rPr>
        <w:t>corporativă</w:t>
      </w:r>
      <w:r w:rsidR="00E27D09" w:rsidRPr="0083045F">
        <w:rPr>
          <w:rStyle w:val="apple-converted-space"/>
          <w:rFonts w:cs="Times New Roman"/>
          <w:i/>
          <w:sz w:val="20"/>
          <w:szCs w:val="20"/>
          <w:shd w:val="clear" w:color="auto" w:fill="FFFFFF"/>
        </w:rPr>
        <w:t xml:space="preserve">, pentru audit cât și pentru performanța financiară ce va deservi viitoarelor studii în domeniu. Acest lucru va ușura alegerea cercetătorilor în cazul construirii </w:t>
      </w:r>
      <w:r w:rsidR="0097127E" w:rsidRPr="0083045F">
        <w:rPr>
          <w:rStyle w:val="apple-converted-space"/>
          <w:rFonts w:cs="Times New Roman"/>
          <w:i/>
          <w:sz w:val="20"/>
          <w:szCs w:val="20"/>
          <w:shd w:val="clear" w:color="auto" w:fill="FFFFFF"/>
        </w:rPr>
        <w:t>modelelor</w:t>
      </w:r>
      <w:r w:rsidR="00E27D09" w:rsidRPr="0083045F">
        <w:rPr>
          <w:rStyle w:val="apple-converted-space"/>
          <w:rFonts w:cs="Times New Roman"/>
          <w:i/>
          <w:sz w:val="20"/>
          <w:szCs w:val="20"/>
          <w:shd w:val="clear" w:color="auto" w:fill="FFFFFF"/>
        </w:rPr>
        <w:t xml:space="preserve"> de analiză econometrică întrucât am surprins și limitările existente.</w:t>
      </w:r>
    </w:p>
    <w:p w:rsidR="00E27D09" w:rsidRPr="0083045F" w:rsidRDefault="00E27D09" w:rsidP="0083045F">
      <w:pPr>
        <w:spacing w:line="240" w:lineRule="auto"/>
        <w:rPr>
          <w:rStyle w:val="apple-converted-space"/>
          <w:rFonts w:cs="Times New Roman"/>
          <w:sz w:val="20"/>
          <w:szCs w:val="20"/>
          <w:shd w:val="clear" w:color="auto" w:fill="FFFFFF"/>
        </w:rPr>
      </w:pPr>
    </w:p>
    <w:p w:rsidR="00E27D09" w:rsidRPr="0083045F" w:rsidRDefault="0083045F" w:rsidP="0083045F">
      <w:pPr>
        <w:pStyle w:val="Listparagraf"/>
        <w:numPr>
          <w:ilvl w:val="0"/>
          <w:numId w:val="2"/>
        </w:numPr>
        <w:spacing w:line="240" w:lineRule="auto"/>
        <w:rPr>
          <w:rStyle w:val="apple-converted-space"/>
          <w:rFonts w:cs="Times New Roman"/>
          <w:b/>
          <w:szCs w:val="24"/>
          <w:shd w:val="clear" w:color="auto" w:fill="FFFFFF"/>
        </w:rPr>
      </w:pPr>
      <w:r w:rsidRPr="0083045F">
        <w:rPr>
          <w:rStyle w:val="apple-converted-space"/>
          <w:rFonts w:cs="Times New Roman"/>
          <w:b/>
          <w:szCs w:val="24"/>
          <w:shd w:val="clear" w:color="auto" w:fill="FFFFFF"/>
        </w:rPr>
        <w:t>INTRODUCERE</w:t>
      </w:r>
    </w:p>
    <w:p w:rsidR="00E27D09" w:rsidRPr="0083045F" w:rsidRDefault="00E27D09" w:rsidP="0083045F">
      <w:pPr>
        <w:spacing w:line="240" w:lineRule="auto"/>
        <w:rPr>
          <w:rStyle w:val="apple-converted-space"/>
          <w:rFonts w:cs="Times New Roman"/>
          <w:szCs w:val="24"/>
          <w:shd w:val="clear" w:color="auto" w:fill="FFFFFF"/>
        </w:rPr>
      </w:pPr>
    </w:p>
    <w:p w:rsidR="00165E24" w:rsidRPr="0083045F" w:rsidRDefault="0096617E" w:rsidP="0083045F">
      <w:pPr>
        <w:spacing w:line="240" w:lineRule="auto"/>
        <w:rPr>
          <w:rStyle w:val="apple-converted-space"/>
          <w:rFonts w:cs="Times New Roman"/>
          <w:szCs w:val="24"/>
          <w:shd w:val="clear" w:color="auto" w:fill="FFFFFF"/>
        </w:rPr>
      </w:pPr>
      <w:r w:rsidRPr="0083045F">
        <w:rPr>
          <w:rStyle w:val="apple-converted-space"/>
          <w:rFonts w:cs="Times New Roman"/>
          <w:szCs w:val="24"/>
          <w:shd w:val="clear" w:color="auto" w:fill="FFFFFF"/>
        </w:rPr>
        <w:t xml:space="preserve">Globalizarea ca fenomen ultraactiv în viața marilor corporații, dezvoltarea noilor tehnologii informaționale și ale comunicării au dat naștere unei noi dimensiuni aflate la originea noii economii care și-a demonstrat vulnerabilitatea tocmai prin instrumentul cel mai dinamic prin care circulă informația. Dacă luăm în calcul instabilitatea pieței și creșterii concurențe, infidelitatea clienților, fragilitatea organizațiilor, incertitudinea zilei de mâine datorată scandalurilor de ordin social, politic, religios, etc., impun managerilor să </w:t>
      </w:r>
      <w:r w:rsidR="00165E24" w:rsidRPr="0083045F">
        <w:rPr>
          <w:rStyle w:val="apple-converted-space"/>
          <w:rFonts w:cs="Times New Roman"/>
          <w:szCs w:val="24"/>
          <w:shd w:val="clear" w:color="auto" w:fill="FFFFFF"/>
        </w:rPr>
        <w:t xml:space="preserve">ia decizii contra timp, în situații de o complexitate necunoscută. </w:t>
      </w:r>
    </w:p>
    <w:p w:rsidR="00E27D09" w:rsidRPr="0083045F" w:rsidRDefault="00165E24" w:rsidP="0083045F">
      <w:pPr>
        <w:spacing w:line="240" w:lineRule="auto"/>
        <w:rPr>
          <w:rStyle w:val="apple-converted-space"/>
          <w:rFonts w:cs="Times New Roman"/>
          <w:szCs w:val="24"/>
          <w:shd w:val="clear" w:color="auto" w:fill="FFFFFF"/>
        </w:rPr>
      </w:pPr>
      <w:r w:rsidRPr="0083045F">
        <w:rPr>
          <w:rStyle w:val="apple-converted-space"/>
          <w:rFonts w:cs="Times New Roman"/>
          <w:szCs w:val="24"/>
          <w:shd w:val="clear" w:color="auto" w:fill="FFFFFF"/>
        </w:rPr>
        <w:t xml:space="preserve">Guvernanța corporativă (GC), in conformitate cu cele mai bune practici în domeniu vine să sprijine și să organizeze puterea și repartiția între acționari, administratori și conducători. Un </w:t>
      </w:r>
      <w:r w:rsidR="0097127E" w:rsidRPr="0083045F">
        <w:rPr>
          <w:rStyle w:val="apple-converted-space"/>
          <w:rFonts w:cs="Times New Roman"/>
          <w:szCs w:val="24"/>
          <w:shd w:val="clear" w:color="auto" w:fill="FFFFFF"/>
        </w:rPr>
        <w:t>sprijin</w:t>
      </w:r>
      <w:r w:rsidRPr="0083045F">
        <w:rPr>
          <w:rStyle w:val="apple-converted-space"/>
          <w:rFonts w:cs="Times New Roman"/>
          <w:szCs w:val="24"/>
          <w:shd w:val="clear" w:color="auto" w:fill="FFFFFF"/>
        </w:rPr>
        <w:t xml:space="preserve"> de nădejde îl constituie și auditul, cu cele două arii de cuprindere: auditul intern și auditul financiar. </w:t>
      </w:r>
    </w:p>
    <w:p w:rsidR="00165E24" w:rsidRPr="0083045F" w:rsidRDefault="00165E24" w:rsidP="0083045F">
      <w:pPr>
        <w:spacing w:line="240" w:lineRule="auto"/>
        <w:rPr>
          <w:rStyle w:val="apple-converted-space"/>
          <w:rFonts w:cs="Times New Roman"/>
          <w:szCs w:val="24"/>
          <w:shd w:val="clear" w:color="auto" w:fill="FFFFFF"/>
        </w:rPr>
      </w:pPr>
      <w:r w:rsidRPr="0083045F">
        <w:rPr>
          <w:rStyle w:val="apple-converted-space"/>
          <w:rFonts w:cs="Times New Roman"/>
          <w:szCs w:val="24"/>
          <w:shd w:val="clear" w:color="auto" w:fill="FFFFFF"/>
        </w:rPr>
        <w:t xml:space="preserve">Impactul și influențele pe care îl au aceste două mecanisme, GC și auditul, în cadrul performanței </w:t>
      </w:r>
      <w:r w:rsidR="0097127E" w:rsidRPr="0083045F">
        <w:rPr>
          <w:rStyle w:val="apple-converted-space"/>
          <w:rFonts w:cs="Times New Roman"/>
          <w:szCs w:val="24"/>
          <w:shd w:val="clear" w:color="auto" w:fill="FFFFFF"/>
        </w:rPr>
        <w:t>financiare</w:t>
      </w:r>
      <w:r w:rsidRPr="0083045F">
        <w:rPr>
          <w:rStyle w:val="apple-converted-space"/>
          <w:rFonts w:cs="Times New Roman"/>
          <w:szCs w:val="24"/>
          <w:shd w:val="clear" w:color="auto" w:fill="FFFFFF"/>
        </w:rPr>
        <w:t xml:space="preserve"> este un subiect de o importanță majoră, nu numai datorită noutății conceptelor</w:t>
      </w:r>
      <w:r w:rsidR="00163C37" w:rsidRPr="0083045F">
        <w:rPr>
          <w:rStyle w:val="apple-converted-space"/>
          <w:rFonts w:cs="Times New Roman"/>
          <w:szCs w:val="24"/>
          <w:shd w:val="clear" w:color="auto" w:fill="FFFFFF"/>
        </w:rPr>
        <w:t>,</w:t>
      </w:r>
      <w:r w:rsidRPr="0083045F">
        <w:rPr>
          <w:rStyle w:val="apple-converted-space"/>
          <w:rFonts w:cs="Times New Roman"/>
          <w:szCs w:val="24"/>
          <w:shd w:val="clear" w:color="auto" w:fill="FFFFFF"/>
        </w:rPr>
        <w:t xml:space="preserve"> ci </w:t>
      </w:r>
      <w:r w:rsidR="00163C37" w:rsidRPr="0083045F">
        <w:rPr>
          <w:rStyle w:val="apple-converted-space"/>
          <w:rFonts w:cs="Times New Roman"/>
          <w:szCs w:val="24"/>
          <w:shd w:val="clear" w:color="auto" w:fill="FFFFFF"/>
        </w:rPr>
        <w:t>din cauza</w:t>
      </w:r>
      <w:r w:rsidRPr="0083045F">
        <w:rPr>
          <w:rStyle w:val="apple-converted-space"/>
          <w:rFonts w:cs="Times New Roman"/>
          <w:szCs w:val="24"/>
          <w:shd w:val="clear" w:color="auto" w:fill="FFFFFF"/>
        </w:rPr>
        <w:t xml:space="preserve"> faptului c</w:t>
      </w:r>
      <w:r w:rsidR="00163C37" w:rsidRPr="0083045F">
        <w:rPr>
          <w:rStyle w:val="apple-converted-space"/>
          <w:rFonts w:cs="Times New Roman"/>
          <w:szCs w:val="24"/>
          <w:shd w:val="clear" w:color="auto" w:fill="FFFFFF"/>
        </w:rPr>
        <w:t xml:space="preserve">ă topicul este ”arzător” pentru cercetători, practicieni, investitori,instituții de credit, antreprenori și chiar pentru organele reprezentative ale statului. În această cercetare ne propunem să </w:t>
      </w:r>
      <w:r w:rsidR="0097127E" w:rsidRPr="0083045F">
        <w:rPr>
          <w:rStyle w:val="apple-converted-space"/>
          <w:rFonts w:cs="Times New Roman"/>
          <w:szCs w:val="24"/>
          <w:shd w:val="clear" w:color="auto" w:fill="FFFFFF"/>
        </w:rPr>
        <w:t>identificăm</w:t>
      </w:r>
      <w:r w:rsidR="00163C37" w:rsidRPr="0083045F">
        <w:rPr>
          <w:rStyle w:val="apple-converted-space"/>
          <w:rFonts w:cs="Times New Roman"/>
          <w:szCs w:val="24"/>
          <w:shd w:val="clear" w:color="auto" w:fill="FFFFFF"/>
        </w:rPr>
        <w:t xml:space="preserve"> și să prezentăm cele mai recente tendințe în aprecierea GC și auditului în raport cu performanța financiară, precum și să evidențiem limitele existente. Studiul contribuie la literatura de contabilitate prin prima parte a lucrării unde am evidențiat tendințele recente</w:t>
      </w:r>
      <w:r w:rsidR="00A6293C" w:rsidRPr="0083045F">
        <w:rPr>
          <w:rStyle w:val="apple-converted-space"/>
          <w:rFonts w:cs="Times New Roman"/>
          <w:szCs w:val="24"/>
          <w:shd w:val="clear" w:color="auto" w:fill="FFFFFF"/>
        </w:rPr>
        <w:t xml:space="preserve"> ale caracteristicilor de guvernanță precum: dimensiunea și independența consiliului de administrație, frecvența întâlnirilor membrilor bordului de conducere, dualitatea CEO, comitele consultative, investitorii instituționali, indemnizațiile acordate conducerii, </w:t>
      </w:r>
      <w:r w:rsidR="00163C37" w:rsidRPr="0083045F">
        <w:rPr>
          <w:rStyle w:val="apple-converted-space"/>
          <w:rFonts w:cs="Times New Roman"/>
          <w:szCs w:val="24"/>
          <w:shd w:val="clear" w:color="auto" w:fill="FFFFFF"/>
        </w:rPr>
        <w:t>și</w:t>
      </w:r>
      <w:r w:rsidR="00A6293C" w:rsidRPr="0083045F">
        <w:rPr>
          <w:rStyle w:val="apple-converted-space"/>
          <w:rFonts w:cs="Times New Roman"/>
          <w:szCs w:val="24"/>
          <w:shd w:val="clear" w:color="auto" w:fill="FFFFFF"/>
        </w:rPr>
        <w:t xml:space="preserve"> ale auditului: calitatea auditului, onorariile de audit, numărul misiunilor de audit, opiniile auditorilor în raport cu performanța. Vom observa pe parcursul lucrării că marea </w:t>
      </w:r>
      <w:r w:rsidR="00A6293C" w:rsidRPr="0083045F">
        <w:rPr>
          <w:rStyle w:val="apple-converted-space"/>
          <w:rFonts w:cs="Times New Roman"/>
          <w:szCs w:val="24"/>
          <w:shd w:val="clear" w:color="auto" w:fill="FFFFFF"/>
        </w:rPr>
        <w:lastRenderedPageBreak/>
        <w:t>majoritate a cercetătorilor măsoară performanța financiară prin rate de rentabilitate, indicatori precum EVA, Tobin Q, EPS, profitul net, rezultatul reportat. Putem spune că studiul nostru e</w:t>
      </w:r>
      <w:r w:rsidR="00163C37" w:rsidRPr="0083045F">
        <w:rPr>
          <w:rStyle w:val="apple-converted-space"/>
          <w:rFonts w:cs="Times New Roman"/>
          <w:szCs w:val="24"/>
          <w:shd w:val="clear" w:color="auto" w:fill="FFFFFF"/>
        </w:rPr>
        <w:t>ste un fundament de încredere pentru viitoarele cercetări</w:t>
      </w:r>
      <w:r w:rsidR="00A6293C" w:rsidRPr="0083045F">
        <w:rPr>
          <w:rStyle w:val="apple-converted-space"/>
          <w:rFonts w:cs="Times New Roman"/>
          <w:szCs w:val="24"/>
          <w:shd w:val="clear" w:color="auto" w:fill="FFFFFF"/>
        </w:rPr>
        <w:t xml:space="preserve"> empirice prin prezentarea î</w:t>
      </w:r>
      <w:r w:rsidR="00163C37" w:rsidRPr="0083045F">
        <w:rPr>
          <w:rStyle w:val="apple-converted-space"/>
          <w:rFonts w:cs="Times New Roman"/>
          <w:szCs w:val="24"/>
          <w:shd w:val="clear" w:color="auto" w:fill="FFFFFF"/>
        </w:rPr>
        <w:t>n partea a I</w:t>
      </w:r>
      <w:r w:rsidR="00A6293C" w:rsidRPr="0083045F">
        <w:rPr>
          <w:rStyle w:val="apple-converted-space"/>
          <w:rFonts w:cs="Times New Roman"/>
          <w:szCs w:val="24"/>
          <w:shd w:val="clear" w:color="auto" w:fill="FFFFFF"/>
        </w:rPr>
        <w:t xml:space="preserve">I-a, </w:t>
      </w:r>
      <w:r w:rsidR="00163C37" w:rsidRPr="0083045F">
        <w:rPr>
          <w:rStyle w:val="apple-converted-space"/>
          <w:rFonts w:cs="Times New Roman"/>
          <w:szCs w:val="24"/>
          <w:shd w:val="clear" w:color="auto" w:fill="FFFFFF"/>
        </w:rPr>
        <w:t xml:space="preserve">a principalelor variabile de analiză corespunzătoare GC, </w:t>
      </w:r>
      <w:r w:rsidR="0097127E" w:rsidRPr="0083045F">
        <w:rPr>
          <w:rStyle w:val="apple-converted-space"/>
          <w:rFonts w:cs="Times New Roman"/>
          <w:szCs w:val="24"/>
          <w:shd w:val="clear" w:color="auto" w:fill="FFFFFF"/>
        </w:rPr>
        <w:t>auditului</w:t>
      </w:r>
      <w:r w:rsidR="00163C37" w:rsidRPr="0083045F">
        <w:rPr>
          <w:rStyle w:val="apple-converted-space"/>
          <w:rFonts w:cs="Times New Roman"/>
          <w:szCs w:val="24"/>
          <w:shd w:val="clear" w:color="auto" w:fill="FFFFFF"/>
        </w:rPr>
        <w:t xml:space="preserve"> și performanței.</w:t>
      </w:r>
    </w:p>
    <w:p w:rsidR="000B1B68" w:rsidRPr="0083045F" w:rsidRDefault="000B1B68" w:rsidP="0083045F">
      <w:pPr>
        <w:spacing w:line="240" w:lineRule="auto"/>
        <w:rPr>
          <w:rStyle w:val="apple-converted-space"/>
          <w:rFonts w:cs="Times New Roman"/>
          <w:szCs w:val="24"/>
          <w:shd w:val="clear" w:color="auto" w:fill="FFFFFF"/>
        </w:rPr>
      </w:pPr>
    </w:p>
    <w:p w:rsidR="000B1B68" w:rsidRPr="0083045F" w:rsidRDefault="00C14586" w:rsidP="0083045F">
      <w:pPr>
        <w:pStyle w:val="Listparagraf"/>
        <w:numPr>
          <w:ilvl w:val="0"/>
          <w:numId w:val="2"/>
        </w:numPr>
        <w:spacing w:line="240" w:lineRule="auto"/>
        <w:rPr>
          <w:rStyle w:val="apple-converted-space"/>
          <w:rFonts w:cs="Times New Roman"/>
          <w:b/>
          <w:szCs w:val="24"/>
          <w:shd w:val="clear" w:color="auto" w:fill="FFFFFF"/>
        </w:rPr>
      </w:pPr>
      <w:r w:rsidRPr="0083045F">
        <w:rPr>
          <w:rStyle w:val="apple-converted-space"/>
          <w:rFonts w:cs="Times New Roman"/>
          <w:b/>
          <w:szCs w:val="24"/>
          <w:shd w:val="clear" w:color="auto" w:fill="FFFFFF"/>
        </w:rPr>
        <w:t>REVIZUIREA LITERATURII PRIVIND GC</w:t>
      </w:r>
    </w:p>
    <w:p w:rsidR="00F70995" w:rsidRPr="0083045F" w:rsidRDefault="00F70995" w:rsidP="0083045F">
      <w:pPr>
        <w:pStyle w:val="Listparagraf"/>
        <w:spacing w:line="240" w:lineRule="auto"/>
        <w:ind w:left="1066" w:firstLine="0"/>
        <w:rPr>
          <w:rStyle w:val="apple-converted-space"/>
          <w:rFonts w:cs="Times New Roman"/>
          <w:b/>
          <w:i/>
          <w:szCs w:val="24"/>
          <w:shd w:val="clear" w:color="auto" w:fill="FFFFFF"/>
        </w:rPr>
      </w:pPr>
    </w:p>
    <w:p w:rsidR="00C14586" w:rsidRPr="0083045F" w:rsidRDefault="00C14586" w:rsidP="0083045F">
      <w:pPr>
        <w:spacing w:line="240" w:lineRule="auto"/>
        <w:rPr>
          <w:rStyle w:val="apple-converted-space"/>
          <w:rFonts w:cs="Times New Roman"/>
          <w:szCs w:val="24"/>
          <w:shd w:val="clear" w:color="auto" w:fill="FFFFFF"/>
        </w:rPr>
      </w:pPr>
      <w:r w:rsidRPr="0083045F">
        <w:rPr>
          <w:rStyle w:val="apple-converted-space"/>
          <w:rFonts w:cs="Times New Roman"/>
          <w:szCs w:val="24"/>
          <w:shd w:val="clear" w:color="auto" w:fill="FFFFFF"/>
        </w:rPr>
        <w:t>Guvernanţa corporativă reprezintă un ansamblu de „reguli ale jocului” prin care companiile sunt gestionate intern şi supervizate de consiliul directorilor, în scopul de a proteja interesele tuturor părţilor participant (Feleaga, 2011). Întrucât literatura de specialitate în domeniul guvernanței corporative este vastă și pe alocuri controversată, am încercat în cele ce urmează să definim ,,regulile jocului” , prin trecerea în revistă a principalelor mecanisme de guvernanță.</w:t>
      </w:r>
    </w:p>
    <w:p w:rsidR="00C14586" w:rsidRPr="0083045F" w:rsidRDefault="00C14586" w:rsidP="0083045F">
      <w:pPr>
        <w:spacing w:line="240" w:lineRule="auto"/>
        <w:rPr>
          <w:rStyle w:val="apple-converted-space"/>
          <w:rFonts w:cs="Times New Roman"/>
          <w:szCs w:val="24"/>
          <w:shd w:val="clear" w:color="auto" w:fill="FFFFFF"/>
        </w:rPr>
      </w:pPr>
      <w:r w:rsidRPr="0083045F">
        <w:rPr>
          <w:rStyle w:val="apple-converted-space"/>
          <w:rFonts w:cs="Times New Roman"/>
          <w:szCs w:val="24"/>
          <w:shd w:val="clear" w:color="auto" w:fill="FFFFFF"/>
        </w:rPr>
        <w:t xml:space="preserve"> Cercetările recente în domeniul guvernanței corporative au arătat că planurile de monitorizare și de stimulare activă sunt ingrediente cheie în mecanismele de guvernanță corporativă. Aceste mecanisme includ structura consiliului de administrație cu: dimensiunea, implicațiile și responsabilitățile bordului de conducere, apoi amintim drepturile acționarilor,  si comitetele de specialitate.  In cele ce urmeaza, ne-am propus sa dezvoltam mecanismele de GC si sa aratam implicatiile acestora asupra performantei financiare, prin intermediul principalelor studii empirice efectuate in domeniu.</w:t>
      </w:r>
    </w:p>
    <w:p w:rsidR="007E194F" w:rsidRPr="0083045F" w:rsidRDefault="0083045F" w:rsidP="0083045F">
      <w:pPr>
        <w:pStyle w:val="Titlu3"/>
        <w:numPr>
          <w:ilvl w:val="1"/>
          <w:numId w:val="2"/>
        </w:numPr>
        <w:spacing w:line="240" w:lineRule="auto"/>
        <w:rPr>
          <w:rFonts w:ascii="Times New Roman" w:hAnsi="Times New Roman" w:cs="Times New Roman"/>
          <w:color w:val="auto"/>
        </w:rPr>
      </w:pPr>
      <w:r w:rsidRPr="0083045F">
        <w:rPr>
          <w:rFonts w:ascii="Times New Roman" w:hAnsi="Times New Roman" w:cs="Times New Roman"/>
          <w:color w:val="auto"/>
        </w:rPr>
        <w:t xml:space="preserve">STRUCTURA CONSILIULUI DE ADMINISTRAȚIE </w:t>
      </w:r>
    </w:p>
    <w:p w:rsidR="0083045F" w:rsidRPr="0083045F" w:rsidRDefault="0083045F" w:rsidP="0083045F">
      <w:pPr>
        <w:pStyle w:val="Listparagraf"/>
        <w:spacing w:line="240" w:lineRule="auto"/>
        <w:ind w:left="1186" w:firstLine="0"/>
        <w:rPr>
          <w:rFonts w:cs="Times New Roman"/>
        </w:rPr>
      </w:pPr>
    </w:p>
    <w:p w:rsidR="007E194F" w:rsidRPr="0083045F" w:rsidRDefault="007E194F" w:rsidP="0083045F">
      <w:pPr>
        <w:spacing w:line="240" w:lineRule="auto"/>
        <w:rPr>
          <w:rFonts w:cs="Times New Roman"/>
        </w:rPr>
      </w:pPr>
      <w:r w:rsidRPr="0083045F">
        <w:rPr>
          <w:rFonts w:cs="Times New Roman"/>
        </w:rPr>
        <w:t>Un mecanism esențial de guvernanță corporativă îl reprezintă consiliul de administrație. Acesta este înființat în scopul monitorizării activităților managerilor din cadrul companiei și ajută la atenuarea conflictelor de interese</w:t>
      </w:r>
      <w:r w:rsidR="00F70995" w:rsidRPr="0083045F">
        <w:rPr>
          <w:rFonts w:cs="Times New Roman"/>
        </w:rPr>
        <w:t xml:space="preserve"> </w:t>
      </w:r>
      <w:r w:rsidR="00F70995" w:rsidRPr="0083045F">
        <w:rPr>
          <w:rFonts w:eastAsia="Calibri" w:cs="Times New Roman"/>
        </w:rPr>
        <w:t>(Black et all, 2003)</w:t>
      </w:r>
      <w:r w:rsidRPr="0083045F">
        <w:rPr>
          <w:rFonts w:cs="Times New Roman"/>
        </w:rPr>
        <w:t>. Peter Drucker, fondatorul managementului modern amintește în lucrarea sa, ,,Practica de management”</w:t>
      </w:r>
      <w:r w:rsidR="00F70995" w:rsidRPr="0083045F">
        <w:rPr>
          <w:rFonts w:cs="Times New Roman"/>
        </w:rPr>
        <w:t>(2006)</w:t>
      </w:r>
      <w:r w:rsidRPr="0083045F">
        <w:rPr>
          <w:rFonts w:cs="Times New Roman"/>
        </w:rPr>
        <w:t>, responsabilitățile consiliului de administrație ca fiind următoarele: stabilirea unor politici strategice pe termen lung  în scopul obținerii de profit, determinarea indemnizațiilor, compensărilor sau a bonificațiilor pentru personalul din conducere, evaluarea performanțelor managerilor și îmbunătățirea sistemelor de control intern.</w:t>
      </w:r>
    </w:p>
    <w:p w:rsidR="007E194F" w:rsidRPr="0083045F" w:rsidRDefault="007E194F" w:rsidP="0083045F">
      <w:pPr>
        <w:spacing w:line="240" w:lineRule="auto"/>
        <w:rPr>
          <w:rFonts w:cs="Times New Roman"/>
        </w:rPr>
      </w:pPr>
      <w:r w:rsidRPr="0083045F">
        <w:rPr>
          <w:rFonts w:cs="Times New Roman"/>
        </w:rPr>
        <w:t xml:space="preserve">Studii anterioare au demonstrat că </w:t>
      </w:r>
      <w:r w:rsidRPr="0083045F">
        <w:rPr>
          <w:rFonts w:cs="Times New Roman"/>
          <w:b/>
        </w:rPr>
        <w:t>procentul membrilor independenți</w:t>
      </w:r>
      <w:r w:rsidRPr="0083045F">
        <w:rPr>
          <w:rFonts w:cs="Times New Roman"/>
        </w:rPr>
        <w:t xml:space="preserve"> din cadrul consiliilor de administrație influențează în mod pozitiv și semnificativ sănătatea financiară a firmei. Foo și Zain  a luat un eșantion de 481 de companii listate la Bursa de Valori din Malaezia și a constatat că acele consilii de administrație mai independente și diligente sunt asociate cu o lichiditate mai mare. Acest lucru poate fi explicat, deoarece prezența directorilor independenți în consiliul de administrație face ca perioada ciclului de conversie în numerar mai scurt.</w:t>
      </w:r>
    </w:p>
    <w:p w:rsidR="007E194F" w:rsidRPr="0083045F" w:rsidRDefault="007E194F" w:rsidP="0083045F">
      <w:pPr>
        <w:spacing w:line="240" w:lineRule="auto"/>
        <w:rPr>
          <w:rFonts w:cs="Times New Roman"/>
        </w:rPr>
      </w:pPr>
      <w:r w:rsidRPr="0083045F">
        <w:rPr>
          <w:rFonts w:cs="Times New Roman"/>
        </w:rPr>
        <w:t xml:space="preserve">Din analiza articolelor și lucrărilor de specialitate, reiese faptul că, maniera construcției consiliului de administrație, este strâns legată și chiar esențială pentru performanța efectivă a companiei. Heslin și Doanldson în lucrarea lor ,,Teoria portofoliului organizațional a compoziției consiliului”, propun o nouă perspectivă asupra factorilor determinanți și a consecințelor componenței consiliului. Lucrarea reflectă unele implicații ale noii teorii necesare pentru înțelegerea relației dinamice dintre </w:t>
      </w:r>
      <w:r w:rsidRPr="0083045F">
        <w:rPr>
          <w:rFonts w:cs="Times New Roman"/>
          <w:b/>
        </w:rPr>
        <w:t>compoziția consiliului</w:t>
      </w:r>
      <w:r w:rsidRPr="0083045F">
        <w:rPr>
          <w:rFonts w:cs="Times New Roman"/>
        </w:rPr>
        <w:t xml:space="preserve"> și performanței firmei. Astfel, noua teorie susține că firmele cu performanțe slabe vor avea tendința de a avea mai mulți membri ai comitetului executiv, dar îi va înlocui cu mai mulți </w:t>
      </w:r>
      <w:r w:rsidRPr="0083045F">
        <w:rPr>
          <w:rFonts w:cs="Times New Roman"/>
          <w:b/>
        </w:rPr>
        <w:t>membri independenți neexecutivi</w:t>
      </w:r>
      <w:r w:rsidRPr="0083045F">
        <w:rPr>
          <w:rFonts w:cs="Times New Roman"/>
        </w:rPr>
        <w:t xml:space="preserve"> pe măsură ce condițiile financiare se îmbunătățesc. Se presupune că membrii </w:t>
      </w:r>
      <w:r w:rsidR="0097127E" w:rsidRPr="0083045F">
        <w:rPr>
          <w:rFonts w:cs="Times New Roman"/>
        </w:rPr>
        <w:t>neexecutivi</w:t>
      </w:r>
      <w:r w:rsidRPr="0083045F">
        <w:rPr>
          <w:rFonts w:cs="Times New Roman"/>
        </w:rPr>
        <w:t xml:space="preserve"> ai consiliului de administrație sunt considerați a avea un grad de independență mai mare decât membrii executivi </w:t>
      </w:r>
      <w:r w:rsidRPr="0083045F">
        <w:rPr>
          <w:rFonts w:cs="Times New Roman"/>
        </w:rPr>
        <w:lastRenderedPageBreak/>
        <w:t xml:space="preserve">ai consiliului. Prin urmare, membrii neexecutivi asigură o monitorizare adecvată a activităților de management și implicit, asigură obținerea unei performanțe financiare crescute. </w:t>
      </w:r>
    </w:p>
    <w:p w:rsidR="007E194F" w:rsidRPr="0083045F" w:rsidRDefault="007E194F" w:rsidP="0083045F">
      <w:pPr>
        <w:spacing w:line="240" w:lineRule="auto"/>
        <w:rPr>
          <w:rFonts w:cs="Times New Roman"/>
        </w:rPr>
      </w:pPr>
      <w:r w:rsidRPr="0083045F">
        <w:rPr>
          <w:rFonts w:cs="Times New Roman"/>
        </w:rPr>
        <w:t xml:space="preserve">Un studiu interesant pe același palier este și cel al lui Obradovich, Gill și Biger care au argumentat în lucrarea lor, importanța existenței administratorilor independenți </w:t>
      </w:r>
      <w:r w:rsidR="0097127E" w:rsidRPr="0083045F">
        <w:rPr>
          <w:rFonts w:cs="Times New Roman"/>
        </w:rPr>
        <w:t>deoarece</w:t>
      </w:r>
      <w:r w:rsidRPr="0083045F">
        <w:rPr>
          <w:rFonts w:cs="Times New Roman"/>
        </w:rPr>
        <w:t xml:space="preserve">, aceștia,  sunt mai în măsură să ofere consultanță și să sprijine consiliul de administrație, care ajută, în a gestiona eficient capitalul de lucru, a lua decizii importante, care sunt utile în îmbunătățirea sănătății financiare a firmei. O legătură pozitivă și semnificativă între structura consiului de administrație și performanța financiară calculată cu </w:t>
      </w:r>
      <w:r w:rsidRPr="0083045F">
        <w:rPr>
          <w:rFonts w:cs="Times New Roman"/>
          <w:b/>
        </w:rPr>
        <w:t>ROA,</w:t>
      </w:r>
      <w:r w:rsidRPr="0083045F">
        <w:rPr>
          <w:rFonts w:cs="Times New Roman"/>
        </w:rPr>
        <w:t xml:space="preserve"> a fost obținută în cercetarea Marianei  Bunea și a lui  Eugeniu Țurlea. Rezultatele obținute în urma analizei au arătat, o strânsă asociere între </w:t>
      </w:r>
      <w:r w:rsidRPr="0083045F">
        <w:rPr>
          <w:rFonts w:cs="Times New Roman"/>
          <w:b/>
        </w:rPr>
        <w:t>rentabilitatea activelor</w:t>
      </w:r>
      <w:r w:rsidRPr="0083045F">
        <w:rPr>
          <w:rFonts w:cs="Times New Roman"/>
        </w:rPr>
        <w:t xml:space="preserve"> societăților analizate (ROA) și independența membrilor consiliului de administrație sau a consiliului de supraveghere și,  o slabă spre inexistentă corelație între structura consiliului și </w:t>
      </w:r>
      <w:r w:rsidRPr="0083045F">
        <w:rPr>
          <w:rFonts w:cs="Times New Roman"/>
          <w:b/>
        </w:rPr>
        <w:t>rentabilitatea financiară</w:t>
      </w:r>
      <w:r w:rsidRPr="0083045F">
        <w:rPr>
          <w:rFonts w:cs="Times New Roman"/>
        </w:rPr>
        <w:t xml:space="preserve"> a companiilor </w:t>
      </w:r>
      <w:r w:rsidRPr="0083045F">
        <w:rPr>
          <w:rFonts w:cs="Times New Roman"/>
          <w:b/>
        </w:rPr>
        <w:t>(ROE</w:t>
      </w:r>
      <w:r w:rsidRPr="0083045F">
        <w:rPr>
          <w:rFonts w:cs="Times New Roman"/>
        </w:rPr>
        <w:t>).</w:t>
      </w:r>
    </w:p>
    <w:p w:rsidR="007E194F" w:rsidRPr="0083045F" w:rsidRDefault="007E194F" w:rsidP="0083045F">
      <w:pPr>
        <w:spacing w:line="240" w:lineRule="auto"/>
        <w:rPr>
          <w:rFonts w:cs="Times New Roman"/>
        </w:rPr>
      </w:pPr>
      <w:r w:rsidRPr="0083045F">
        <w:rPr>
          <w:rFonts w:cs="Times New Roman"/>
        </w:rPr>
        <w:t xml:space="preserve">Ne-a atras atenția și perspectiva lui Victor-Octavian Müller care în lucrarea sa, consideră că, performanța financiară este cea mai importantă pentru părțile interesate, în general, și a acționarilor, în special, întrucât aceasta este o sursă esențială pentru finanțarea activității economice actuale, contribuind astfel la menținerea și creșterea valorii afacerii, la distribuirea dividendelor care, la rândul lor, pot atrage investitorii și implicit fondurile lor. Rezultatele cercetării au confirmat ipotezele inițiale stabilite de autor și au arătat un impact pozitiv semnificativ a </w:t>
      </w:r>
      <w:r w:rsidR="0097127E" w:rsidRPr="0083045F">
        <w:rPr>
          <w:rFonts w:cs="Times New Roman"/>
        </w:rPr>
        <w:t>caracteristicilor</w:t>
      </w:r>
      <w:r w:rsidRPr="0083045F">
        <w:rPr>
          <w:rFonts w:cs="Times New Roman"/>
        </w:rPr>
        <w:t xml:space="preserve"> de guvernanță corporativă (în special  independența consiliului de administrație și proporția directorilor străini) asupra performanței financiare contemporane și ulterioare exprimată cu </w:t>
      </w:r>
      <w:r w:rsidRPr="0083045F">
        <w:rPr>
          <w:rFonts w:cs="Times New Roman"/>
          <w:b/>
        </w:rPr>
        <w:t>ROA</w:t>
      </w:r>
      <w:r w:rsidRPr="0083045F">
        <w:rPr>
          <w:rFonts w:cs="Times New Roman"/>
        </w:rPr>
        <w:t xml:space="preserve">. De amintit aici este relația negativă evidențiată  între ROA și </w:t>
      </w:r>
      <w:r w:rsidRPr="0083045F">
        <w:rPr>
          <w:rFonts w:cs="Times New Roman"/>
          <w:b/>
        </w:rPr>
        <w:t>dualitatea CEO</w:t>
      </w:r>
      <w:r w:rsidRPr="0083045F">
        <w:rPr>
          <w:rFonts w:cs="Times New Roman"/>
        </w:rPr>
        <w:t xml:space="preserve">.  </w:t>
      </w:r>
    </w:p>
    <w:p w:rsidR="007E194F" w:rsidRPr="0083045F" w:rsidRDefault="007E194F" w:rsidP="0083045F">
      <w:pPr>
        <w:spacing w:line="240" w:lineRule="auto"/>
        <w:rPr>
          <w:rFonts w:cs="Times New Roman"/>
        </w:rPr>
      </w:pPr>
      <w:r w:rsidRPr="0083045F">
        <w:rPr>
          <w:rFonts w:cs="Times New Roman"/>
        </w:rPr>
        <w:t>In același asentiment sunt și Mashayekhi și Bazaz</w:t>
      </w:r>
      <w:r w:rsidR="00F70995" w:rsidRPr="0083045F">
        <w:rPr>
          <w:rFonts w:cs="Times New Roman"/>
        </w:rPr>
        <w:t xml:space="preserve"> </w:t>
      </w:r>
      <w:r w:rsidRPr="0083045F">
        <w:rPr>
          <w:rFonts w:cs="Times New Roman"/>
        </w:rPr>
        <w:t xml:space="preserve">care au găsit o relație semnificativă pozitivă  </w:t>
      </w:r>
      <w:r w:rsidRPr="0083045F">
        <w:rPr>
          <w:rFonts w:cs="Times New Roman"/>
          <w:b/>
        </w:rPr>
        <w:t>între membrii neexecutivi</w:t>
      </w:r>
      <w:r w:rsidRPr="0083045F">
        <w:rPr>
          <w:rFonts w:cs="Times New Roman"/>
        </w:rPr>
        <w:t xml:space="preserve"> ai consiliului de administrație și a performanța financiară. Aceștia au concluzionat, independența bordului de conducere duce la creșterea diversificării, ceea ce va contribui la riscuri mai mici și deopotrivă la îmbunătățirea  performanței.</w:t>
      </w:r>
    </w:p>
    <w:p w:rsidR="007E194F" w:rsidRPr="0083045F" w:rsidRDefault="007E194F" w:rsidP="0083045F">
      <w:pPr>
        <w:spacing w:line="240" w:lineRule="auto"/>
        <w:rPr>
          <w:rFonts w:cs="Times New Roman"/>
        </w:rPr>
      </w:pPr>
      <w:r w:rsidRPr="0083045F">
        <w:rPr>
          <w:rFonts w:cs="Times New Roman"/>
        </w:rPr>
        <w:t>Câțiva cercetători</w:t>
      </w:r>
      <w:r w:rsidR="00F70995" w:rsidRPr="0083045F">
        <w:rPr>
          <w:rFonts w:cs="Times New Roman"/>
        </w:rPr>
        <w:t xml:space="preserve"> </w:t>
      </w:r>
      <w:r w:rsidR="00F70995" w:rsidRPr="0083045F">
        <w:rPr>
          <w:rFonts w:eastAsia="Calibri" w:cs="Times New Roman"/>
        </w:rPr>
        <w:t xml:space="preserve">(Landier et all, 2013) </w:t>
      </w:r>
      <w:r w:rsidRPr="0083045F">
        <w:rPr>
          <w:rFonts w:cs="Times New Roman"/>
        </w:rPr>
        <w:t xml:space="preserve">de la prestigioasa universitate Princeton din Statele Unite, au conceput un articol reprezentativ pentru topicul nostru, în care, iau în discuție problema </w:t>
      </w:r>
      <w:r w:rsidRPr="0083045F">
        <w:rPr>
          <w:rFonts w:cs="Times New Roman"/>
          <w:b/>
        </w:rPr>
        <w:t>independenței directorului general (CEO)</w:t>
      </w:r>
      <w:r w:rsidRPr="0083045F">
        <w:rPr>
          <w:rFonts w:cs="Times New Roman"/>
        </w:rPr>
        <w:t xml:space="preserve"> și impactul acestei caracteristici asupra performanței. Rezultate studiului au demonstrat într-o manieră robustă, că acele companii cu un </w:t>
      </w:r>
      <w:r w:rsidR="0097127E" w:rsidRPr="0083045F">
        <w:rPr>
          <w:rFonts w:cs="Times New Roman"/>
        </w:rPr>
        <w:t>număr</w:t>
      </w:r>
      <w:r w:rsidRPr="0083045F">
        <w:rPr>
          <w:rFonts w:cs="Times New Roman"/>
        </w:rPr>
        <w:t xml:space="preserve"> mai mic de directori independenți au un nivel mai scăzut al rentabilității și oferă acționarilor, randamente mai mici  în urma investițiilor semnificative. Însă aceste rezultate nu sunt afectate atunci când sunt controlate măsurile tradiționale de guvernare, cum ar fi independența și dimensiunea consiliului, drepturile acționarilor, </w:t>
      </w:r>
      <w:r w:rsidR="0097127E" w:rsidRPr="0083045F">
        <w:rPr>
          <w:rFonts w:cs="Times New Roman"/>
        </w:rPr>
        <w:t>etc.</w:t>
      </w:r>
    </w:p>
    <w:p w:rsidR="007E194F" w:rsidRPr="0083045F" w:rsidRDefault="007E194F" w:rsidP="0083045F">
      <w:pPr>
        <w:spacing w:line="240" w:lineRule="auto"/>
        <w:rPr>
          <w:rFonts w:cs="Times New Roman"/>
        </w:rPr>
      </w:pPr>
      <w:r w:rsidRPr="0083045F">
        <w:rPr>
          <w:rFonts w:cs="Times New Roman"/>
        </w:rPr>
        <w:t xml:space="preserve">Othman și colaboratorii au studiat trei caracteristici ale guvernanței, și anume, </w:t>
      </w:r>
      <w:r w:rsidRPr="0083045F">
        <w:rPr>
          <w:rFonts w:cs="Times New Roman"/>
          <w:b/>
        </w:rPr>
        <w:t>dimensiunea consiliului , componența acestuia și remunerația conducerii</w:t>
      </w:r>
      <w:r w:rsidRPr="0083045F">
        <w:rPr>
          <w:rFonts w:cs="Times New Roman"/>
        </w:rPr>
        <w:t xml:space="preserve"> pentru companiile listate din Malaezia și au examinat relația dintre structura bordului de conducere și  averea acționarilor. Aceștia au raportat că cele trei elemente joacă un rol important în influențarea averii acționarilor măsurate prin EPS și prin  randamentul investițiilor.</w:t>
      </w:r>
    </w:p>
    <w:p w:rsidR="007E194F" w:rsidRPr="0083045F" w:rsidRDefault="007E194F" w:rsidP="0083045F">
      <w:pPr>
        <w:spacing w:line="240" w:lineRule="auto"/>
        <w:rPr>
          <w:rFonts w:cs="Times New Roman"/>
        </w:rPr>
      </w:pPr>
      <w:r w:rsidRPr="0083045F">
        <w:rPr>
          <w:rFonts w:cs="Times New Roman"/>
        </w:rPr>
        <w:t xml:space="preserve">O altă caracteristică a guvernanței corporative intens dezbătură este </w:t>
      </w:r>
      <w:r w:rsidRPr="0083045F">
        <w:rPr>
          <w:rFonts w:cs="Times New Roman"/>
          <w:b/>
        </w:rPr>
        <w:t>dualitatea CEO</w:t>
      </w:r>
      <w:r w:rsidRPr="0083045F">
        <w:rPr>
          <w:rFonts w:cs="Times New Roman"/>
        </w:rPr>
        <w:t>, ce presupune îndeplinirea funcției de director general și cea de președinte al consiliului de administrație de aceeași persoană responsabilă cu sarcinile aferente acestor poziții. Analizând  marile afaceri, putem constata că dualitatea conducerii a devenit o obișnuință în corporații. Gill și Biger</w:t>
      </w:r>
      <w:r w:rsidR="00F70995" w:rsidRPr="0083045F">
        <w:rPr>
          <w:rFonts w:cs="Times New Roman"/>
        </w:rPr>
        <w:t xml:space="preserve"> (</w:t>
      </w:r>
      <w:r w:rsidR="00A975FC" w:rsidRPr="0083045F">
        <w:rPr>
          <w:rFonts w:cs="Times New Roman"/>
        </w:rPr>
        <w:t>2013</w:t>
      </w:r>
      <w:r w:rsidR="00F70995" w:rsidRPr="0083045F">
        <w:rPr>
          <w:rFonts w:cs="Times New Roman"/>
        </w:rPr>
        <w:t>)</w:t>
      </w:r>
      <w:r w:rsidR="00A975FC" w:rsidRPr="0083045F">
        <w:rPr>
          <w:rFonts w:cs="Times New Roman"/>
        </w:rPr>
        <w:t xml:space="preserve"> au</w:t>
      </w:r>
      <w:r w:rsidRPr="0083045F">
        <w:rPr>
          <w:rFonts w:cs="Times New Roman"/>
        </w:rPr>
        <w:t xml:space="preserve"> colectat date de la un număr impresionant de firme de producție și a constatat că guvernanța corporativă îmbunătățește eficiența efectelor de primit, sumelor de plătit și eficiența ciclului de conversie a numerarului. </w:t>
      </w:r>
      <w:r w:rsidR="0097127E" w:rsidRPr="0083045F">
        <w:rPr>
          <w:rFonts w:cs="Times New Roman"/>
        </w:rPr>
        <w:t>Astfel</w:t>
      </w:r>
      <w:r w:rsidRPr="0083045F">
        <w:rPr>
          <w:rFonts w:cs="Times New Roman"/>
        </w:rPr>
        <w:t>, o lipsă de conducere independentă creează dificultăți consiliului pentru a răspunde unui eventual eșec la nivelul managementului general.</w:t>
      </w:r>
    </w:p>
    <w:p w:rsidR="007E194F" w:rsidRPr="0083045F" w:rsidRDefault="007E194F" w:rsidP="0083045F">
      <w:pPr>
        <w:spacing w:line="240" w:lineRule="auto"/>
        <w:rPr>
          <w:rFonts w:cs="Times New Roman"/>
        </w:rPr>
      </w:pPr>
      <w:r w:rsidRPr="0083045F">
        <w:rPr>
          <w:rFonts w:cs="Times New Roman"/>
        </w:rPr>
        <w:lastRenderedPageBreak/>
        <w:t>Atributele consiliului de administrație, cum ar fi: vârsta managerilor, independența bordului, dualitatea CEO, dimensiunea bordului în raport cu performanța financiară și cu deciziile investitorilor au fost evaluate prin utilizarea unui panel de 1155 firme din Chin</w:t>
      </w:r>
      <w:r w:rsidR="00A975FC" w:rsidRPr="0083045F">
        <w:rPr>
          <w:rFonts w:cs="Times New Roman"/>
        </w:rPr>
        <w:t xml:space="preserve">a în perioada 1999-2004. Studiul </w:t>
      </w:r>
      <w:r w:rsidR="00A975FC" w:rsidRPr="0083045F">
        <w:rPr>
          <w:rFonts w:eastAsia="Calibri" w:cs="Times New Roman"/>
        </w:rPr>
        <w:t xml:space="preserve">(Bo et all, 2016) </w:t>
      </w:r>
      <w:r w:rsidRPr="0083045F">
        <w:rPr>
          <w:rFonts w:cs="Times New Roman"/>
        </w:rPr>
        <w:t xml:space="preserve">a conchis astfel: consiliile de </w:t>
      </w:r>
      <w:r w:rsidR="0097127E" w:rsidRPr="0083045F">
        <w:rPr>
          <w:rFonts w:cs="Times New Roman"/>
        </w:rPr>
        <w:t>administrație</w:t>
      </w:r>
      <w:r w:rsidRPr="0083045F">
        <w:rPr>
          <w:rFonts w:cs="Times New Roman"/>
        </w:rPr>
        <w:t xml:space="preserve"> corporative care au mai mulți manageri tineri, mai mulți directori de independenți, cu un CEO care nu este președintele consiliului, influențează pozitiv performanța companiei și susține decizii corecte de investiții.</w:t>
      </w:r>
    </w:p>
    <w:p w:rsidR="007E194F" w:rsidRPr="0083045F" w:rsidRDefault="007E194F" w:rsidP="0083045F">
      <w:pPr>
        <w:spacing w:line="240" w:lineRule="auto"/>
        <w:rPr>
          <w:rFonts w:cs="Times New Roman"/>
        </w:rPr>
      </w:pPr>
      <w:r w:rsidRPr="0083045F">
        <w:rPr>
          <w:rFonts w:cs="Times New Roman"/>
        </w:rPr>
        <w:t>Într-o lucrare mai recentă</w:t>
      </w:r>
      <w:r w:rsidR="00A975FC" w:rsidRPr="0083045F">
        <w:rPr>
          <w:rFonts w:cs="Times New Roman"/>
        </w:rPr>
        <w:t xml:space="preserve"> </w:t>
      </w:r>
      <w:r w:rsidR="00A975FC" w:rsidRPr="0083045F">
        <w:rPr>
          <w:rFonts w:eastAsia="Calibri" w:cs="Times New Roman"/>
          <w:lang w:val="en-US"/>
        </w:rPr>
        <w:t>(Malik &amp; Makhdoom, 2016)</w:t>
      </w:r>
      <w:r w:rsidRPr="0083045F">
        <w:rPr>
          <w:rFonts w:cs="Times New Roman"/>
        </w:rPr>
        <w:t xml:space="preserve">, se confirmă relația pozitivă și puternică între guvernanța corporativă și performanța financiară. Autorii, analizând  corporațiile din Fortune Global 500 au ajuns la concluzia că </w:t>
      </w:r>
      <w:r w:rsidRPr="0083045F">
        <w:rPr>
          <w:rFonts w:cs="Times New Roman"/>
          <w:b/>
        </w:rPr>
        <w:t>dimensiunile mai reduse ale consiliului</w:t>
      </w:r>
      <w:r w:rsidRPr="0083045F">
        <w:rPr>
          <w:rFonts w:cs="Times New Roman"/>
        </w:rPr>
        <w:t xml:space="preserve"> creează o performanță mai bună. </w:t>
      </w:r>
      <w:r w:rsidRPr="0083045F">
        <w:rPr>
          <w:rFonts w:cs="Times New Roman"/>
          <w:b/>
        </w:rPr>
        <w:t xml:space="preserve">Frecvența întrunirilor membrilor consiliului de administrație </w:t>
      </w:r>
      <w:r w:rsidRPr="0083045F">
        <w:rPr>
          <w:rFonts w:cs="Times New Roman"/>
        </w:rPr>
        <w:t xml:space="preserve">au fost, de asemenea dovedite a avea o relație invers proporțională cu performanța firmei. Studiul susține independența consiliului pentru a îmbunătăți transparența în procesului de luare a deciziilor în cadrul conducerii. </w:t>
      </w:r>
      <w:r w:rsidRPr="0083045F">
        <w:rPr>
          <w:rFonts w:cs="Times New Roman"/>
          <w:b/>
        </w:rPr>
        <w:t xml:space="preserve">Compensațiile și indemnizațiile </w:t>
      </w:r>
      <w:r w:rsidRPr="0083045F">
        <w:rPr>
          <w:rFonts w:cs="Times New Roman"/>
        </w:rPr>
        <w:t>acordate conducerii, s-au dovedit a avea relație invers proporțională cu performanta firmei.</w:t>
      </w:r>
    </w:p>
    <w:p w:rsidR="007E194F" w:rsidRPr="0083045F" w:rsidRDefault="007E194F" w:rsidP="0083045F">
      <w:pPr>
        <w:spacing w:line="240" w:lineRule="auto"/>
        <w:rPr>
          <w:rFonts w:cs="Times New Roman"/>
        </w:rPr>
      </w:pPr>
      <w:r w:rsidRPr="0083045F">
        <w:rPr>
          <w:rFonts w:cs="Times New Roman"/>
        </w:rPr>
        <w:t>La același rezultat au ajuns și Hahn &amp; Lasfer</w:t>
      </w:r>
      <w:r w:rsidR="00A975FC" w:rsidRPr="0083045F">
        <w:rPr>
          <w:rFonts w:cs="Times New Roman"/>
          <w:vertAlign w:val="superscript"/>
        </w:rPr>
        <w:t xml:space="preserve"> </w:t>
      </w:r>
      <w:r w:rsidRPr="0083045F">
        <w:rPr>
          <w:rFonts w:cs="Times New Roman"/>
        </w:rPr>
        <w:t xml:space="preserve">în urma studiului efectuat asupra companiilor din Marea Britanie. Aceștia au constatat că au loc din ce în ce mai puține </w:t>
      </w:r>
      <w:r w:rsidRPr="0083045F">
        <w:rPr>
          <w:rFonts w:cs="Times New Roman"/>
          <w:b/>
        </w:rPr>
        <w:t>întâlniri ale consiliului de administrație</w:t>
      </w:r>
      <w:r w:rsidRPr="0083045F">
        <w:rPr>
          <w:rFonts w:cs="Times New Roman"/>
        </w:rPr>
        <w:t>, în principal din cauza creșterii semnificative a proporției directorilor neexecutivi străini din cadrul bordului de conducere. Ca și consecințe, companiile respective înregistrează randamente scăzute ale acțiunilor și o creștere a conflictelor datorate unor compensații uriașe plătite conducerii care nu sunt direct proporționale cu creșterea performanței financiare.</w:t>
      </w:r>
    </w:p>
    <w:p w:rsidR="00883DA6" w:rsidRPr="0083045F" w:rsidRDefault="007E194F" w:rsidP="0083045F">
      <w:pPr>
        <w:spacing w:line="240" w:lineRule="auto"/>
        <w:rPr>
          <w:rFonts w:cs="Times New Roman"/>
        </w:rPr>
      </w:pPr>
      <w:r w:rsidRPr="0083045F">
        <w:rPr>
          <w:rFonts w:cs="Times New Roman"/>
        </w:rPr>
        <w:t xml:space="preserve">Putem spune că problemele de remunerare a conducerii și cele legate de guvernanța corporativă continuă să atragă atenția la nivel academic, politic, dar și mass-media.  Dovezi empirice privind relația dintre </w:t>
      </w:r>
      <w:r w:rsidRPr="0083045F">
        <w:rPr>
          <w:rFonts w:cs="Times New Roman"/>
          <w:b/>
        </w:rPr>
        <w:t>indemnizațiile conducerii</w:t>
      </w:r>
      <w:r w:rsidRPr="0083045F">
        <w:rPr>
          <w:rFonts w:cs="Times New Roman"/>
        </w:rPr>
        <w:t xml:space="preserve"> (ce cuprind remunerații, bonusuri, stimulente, beneficii de pensionare, eșalonări) și performanța financiară sunt reflectate pe larg de către Baixauli-Soler J.S și Gregorio Sanchez-Marin. Aceștia au obținut o corelație </w:t>
      </w:r>
      <w:r w:rsidR="0097127E" w:rsidRPr="0083045F">
        <w:rPr>
          <w:rFonts w:cs="Times New Roman"/>
        </w:rPr>
        <w:t>pozitivă</w:t>
      </w:r>
      <w:r w:rsidRPr="0083045F">
        <w:rPr>
          <w:rFonts w:cs="Times New Roman"/>
        </w:rPr>
        <w:t xml:space="preserve"> între indemnizațiile CA și performanță  corelate cu drepturile acționarilor.  Directorii și administratorii unor corporații din anumite plaje economice, s-au bucurat de salarii uriașe, însă sunt adesea în contrast cu salariile  relativ scăzute primite de către conducătorii din alte economii. Cazul SUA, care efectuează plăți uriașe CEO-lui  și Japonia, unde </w:t>
      </w:r>
      <w:r w:rsidR="0097127E" w:rsidRPr="0083045F">
        <w:rPr>
          <w:rFonts w:cs="Times New Roman"/>
        </w:rPr>
        <w:t>indemnizațiile</w:t>
      </w:r>
      <w:r w:rsidRPr="0083045F">
        <w:rPr>
          <w:rFonts w:cs="Times New Roman"/>
        </w:rPr>
        <w:t xml:space="preserve"> CEO sunt scăzute, este un exemplu evident. În același timp, diferențele foarte  mari în cadrul structurilor de guvernanță corporativă între aceste economii este adesea evidențiată. </w:t>
      </w:r>
    </w:p>
    <w:p w:rsidR="0083045F" w:rsidRPr="0083045F" w:rsidRDefault="0083045F" w:rsidP="0083045F">
      <w:pPr>
        <w:spacing w:line="240" w:lineRule="auto"/>
        <w:rPr>
          <w:rFonts w:cs="Times New Roman"/>
        </w:rPr>
      </w:pPr>
    </w:p>
    <w:p w:rsidR="00431CCC" w:rsidRPr="0083045F" w:rsidRDefault="0083045F" w:rsidP="0083045F">
      <w:pPr>
        <w:pStyle w:val="Listparagraf"/>
        <w:numPr>
          <w:ilvl w:val="1"/>
          <w:numId w:val="2"/>
        </w:numPr>
        <w:spacing w:line="240" w:lineRule="auto"/>
        <w:rPr>
          <w:rFonts w:cs="Times New Roman"/>
        </w:rPr>
      </w:pPr>
      <w:r w:rsidRPr="0083045F">
        <w:rPr>
          <w:rStyle w:val="Titlu2Caracter"/>
          <w:rFonts w:ascii="Times New Roman" w:hAnsi="Times New Roman" w:cs="Times New Roman"/>
          <w:color w:val="auto"/>
          <w:sz w:val="24"/>
        </w:rPr>
        <w:t>COMITETELE DE SPECIALITATE</w:t>
      </w:r>
    </w:p>
    <w:p w:rsidR="0083045F" w:rsidRPr="0083045F" w:rsidRDefault="0083045F" w:rsidP="0083045F">
      <w:pPr>
        <w:pStyle w:val="Listparagraf"/>
        <w:spacing w:line="240" w:lineRule="auto"/>
        <w:ind w:left="1186" w:firstLine="0"/>
        <w:rPr>
          <w:rFonts w:cs="Times New Roman"/>
        </w:rPr>
      </w:pPr>
    </w:p>
    <w:p w:rsidR="00883DA6" w:rsidRPr="0083045F" w:rsidRDefault="00431CCC" w:rsidP="0083045F">
      <w:pPr>
        <w:spacing w:line="240" w:lineRule="auto"/>
        <w:rPr>
          <w:rStyle w:val="apple-converted-space"/>
          <w:rFonts w:cs="Times New Roman"/>
        </w:rPr>
      </w:pPr>
      <w:r w:rsidRPr="0083045F">
        <w:rPr>
          <w:rFonts w:cs="Times New Roman"/>
        </w:rPr>
        <w:t xml:space="preserve">Părerile cu privire la influența </w:t>
      </w:r>
      <w:r w:rsidR="0097127E" w:rsidRPr="0083045F">
        <w:rPr>
          <w:rFonts w:cs="Times New Roman"/>
        </w:rPr>
        <w:t>structurii</w:t>
      </w:r>
      <w:r w:rsidRPr="0083045F">
        <w:rPr>
          <w:rFonts w:cs="Times New Roman"/>
        </w:rPr>
        <w:t xml:space="preserve"> și a </w:t>
      </w:r>
      <w:r w:rsidRPr="0083045F">
        <w:rPr>
          <w:rFonts w:cs="Times New Roman"/>
          <w:b/>
        </w:rPr>
        <w:t>numărului de comitete</w:t>
      </w:r>
      <w:r w:rsidRPr="0083045F">
        <w:rPr>
          <w:rFonts w:cs="Times New Roman"/>
        </w:rPr>
        <w:t xml:space="preserve"> </w:t>
      </w:r>
      <w:r w:rsidRPr="0083045F">
        <w:rPr>
          <w:rFonts w:cs="Times New Roman"/>
          <w:b/>
        </w:rPr>
        <w:t>consultative</w:t>
      </w:r>
      <w:r w:rsidRPr="0083045F">
        <w:rPr>
          <w:rFonts w:cs="Times New Roman"/>
        </w:rPr>
        <w:t xml:space="preserve"> asupra performanței sunt împărțite. Guiral și colaboratorii constatat nu există nici o corelație între existența comitetelor de specialitate și performanța corporativă. Mcconomy &amp; Bujaki</w:t>
      </w:r>
      <w:r w:rsidR="00A975FC" w:rsidRPr="0083045F">
        <w:rPr>
          <w:rFonts w:cs="Times New Roman"/>
        </w:rPr>
        <w:t xml:space="preserve"> </w:t>
      </w:r>
      <w:r w:rsidRPr="0083045F">
        <w:rPr>
          <w:rFonts w:cs="Times New Roman"/>
        </w:rPr>
        <w:t xml:space="preserve"> au regăsit o coreție pozitivă între numărul de comitete consultative și implicațiile asupra profitabilității companiilor. De asemenea, instituirea comitetului de audit poate preveni frauda financiară și oferă o credibilitate mai mare de piață a rapoartelor financiare </w:t>
      </w:r>
      <w:r w:rsidR="0097127E" w:rsidRPr="0083045F">
        <w:rPr>
          <w:rFonts w:cs="Times New Roman"/>
        </w:rPr>
        <w:t>creând</w:t>
      </w:r>
      <w:r w:rsidRPr="0083045F">
        <w:rPr>
          <w:rFonts w:cs="Times New Roman"/>
        </w:rPr>
        <w:t xml:space="preserve"> o reacție pozitivă pentru a îmbunătăți prețul acțiunilor companiei.</w:t>
      </w:r>
    </w:p>
    <w:p w:rsidR="00951128" w:rsidRPr="0083045F" w:rsidRDefault="00431CCC" w:rsidP="0083045F">
      <w:pPr>
        <w:spacing w:line="240" w:lineRule="auto"/>
        <w:rPr>
          <w:rFonts w:cs="Times New Roman"/>
        </w:rPr>
      </w:pPr>
      <w:r w:rsidRPr="0083045F">
        <w:rPr>
          <w:rFonts w:cs="Times New Roman"/>
        </w:rPr>
        <w:t xml:space="preserve">Aldamen și </w:t>
      </w:r>
      <w:r w:rsidR="0097127E" w:rsidRPr="0083045F">
        <w:rPr>
          <w:rFonts w:cs="Times New Roman"/>
        </w:rPr>
        <w:t>colab.</w:t>
      </w:r>
      <w:r w:rsidRPr="0083045F">
        <w:rPr>
          <w:rFonts w:cs="Times New Roman"/>
        </w:rPr>
        <w:t xml:space="preserve">  indică faptul că existența unor comitete specializate, precum comitetul de audit,  monitorizează activitățile managementului în mod eficient, deoarece astfel de comitete sunt mai susceptibile de a lua decizii obiective, fără negociere și deliberare.  Analiza lor a evidențiat că existența unor comitete de audit mai reduse ca dimensiune, ca număr de membrii, </w:t>
      </w:r>
      <w:r w:rsidRPr="0083045F">
        <w:rPr>
          <w:rFonts w:cs="Times New Roman"/>
        </w:rPr>
        <w:lastRenderedPageBreak/>
        <w:t xml:space="preserve">care au mai multă </w:t>
      </w:r>
      <w:r w:rsidR="0097127E" w:rsidRPr="0083045F">
        <w:rPr>
          <w:rFonts w:cs="Times New Roman"/>
        </w:rPr>
        <w:t>experiență</w:t>
      </w:r>
      <w:r w:rsidRPr="0083045F">
        <w:rPr>
          <w:rFonts w:cs="Times New Roman"/>
        </w:rPr>
        <w:t xml:space="preserve"> și expertiză financiară, este puternic corelată cu o performanță financiară crescută.</w:t>
      </w:r>
    </w:p>
    <w:p w:rsidR="0083045F" w:rsidRPr="0083045F" w:rsidRDefault="0083045F" w:rsidP="0083045F">
      <w:pPr>
        <w:spacing w:line="240" w:lineRule="auto"/>
        <w:rPr>
          <w:rFonts w:cs="Times New Roman"/>
        </w:rPr>
      </w:pPr>
    </w:p>
    <w:p w:rsidR="00951128" w:rsidRPr="0083045F" w:rsidRDefault="0083045F" w:rsidP="0083045F">
      <w:pPr>
        <w:pStyle w:val="Listparagraf"/>
        <w:numPr>
          <w:ilvl w:val="1"/>
          <w:numId w:val="2"/>
        </w:numPr>
        <w:spacing w:line="240" w:lineRule="auto"/>
        <w:rPr>
          <w:rFonts w:cs="Times New Roman"/>
          <w:b/>
        </w:rPr>
      </w:pPr>
      <w:r w:rsidRPr="0083045F">
        <w:rPr>
          <w:rFonts w:cs="Times New Roman"/>
          <w:b/>
        </w:rPr>
        <w:t>DREPTURILE ACȚIONARILOR/INVESTITORILOR</w:t>
      </w:r>
    </w:p>
    <w:p w:rsidR="0083045F" w:rsidRPr="0083045F" w:rsidRDefault="0083045F" w:rsidP="0083045F">
      <w:pPr>
        <w:spacing w:line="240" w:lineRule="auto"/>
        <w:ind w:left="706" w:firstLine="0"/>
        <w:rPr>
          <w:rFonts w:cs="Times New Roman"/>
          <w:b/>
        </w:rPr>
      </w:pPr>
    </w:p>
    <w:p w:rsidR="00951128" w:rsidRPr="0083045F" w:rsidRDefault="00951128" w:rsidP="0083045F">
      <w:pPr>
        <w:spacing w:line="240" w:lineRule="auto"/>
        <w:rPr>
          <w:rFonts w:cs="Times New Roman"/>
        </w:rPr>
      </w:pPr>
      <w:r w:rsidRPr="0083045F">
        <w:rPr>
          <w:rFonts w:cs="Times New Roman"/>
        </w:rPr>
        <w:t>Berle și  Means</w:t>
      </w:r>
      <w:r w:rsidR="00A975FC" w:rsidRPr="0083045F">
        <w:rPr>
          <w:rFonts w:cs="Times New Roman"/>
          <w:vertAlign w:val="superscript"/>
        </w:rPr>
        <w:t xml:space="preserve"> </w:t>
      </w:r>
      <w:r w:rsidRPr="0083045F">
        <w:rPr>
          <w:rFonts w:cs="Times New Roman"/>
        </w:rPr>
        <w:t xml:space="preserve">au  sugerat de  acum aproape  un secol faptul că o formă de proprietate dispersată conduce la o slabă performanță, așa cum o concentrație mare de acțiuni tinde să exercite o </w:t>
      </w:r>
      <w:r w:rsidR="0097127E" w:rsidRPr="0083045F">
        <w:rPr>
          <w:rFonts w:cs="Times New Roman"/>
        </w:rPr>
        <w:t>presiune</w:t>
      </w:r>
      <w:r w:rsidRPr="0083045F">
        <w:rPr>
          <w:rFonts w:cs="Times New Roman"/>
        </w:rPr>
        <w:t xml:space="preserve"> mai mare asupra managerilor cu scopul de a maximiza valoarea acțiunilor . Într-un studiu efectuat pe un eșantion de 216 companii din Spania și Regatul Unit s-a descoperit faptul că protecția juridică oferită investitorilor din fiecare țară, influențează  mecanismele de guvernanță. Rezultatele arată că, o concentrare a proprietății precum și protecția investitorilor sunt mecanisme substitutive atunci când crește valoarea firmei</w:t>
      </w:r>
      <w:r w:rsidR="00A975FC" w:rsidRPr="0083045F">
        <w:rPr>
          <w:rFonts w:cs="Times New Roman"/>
        </w:rPr>
        <w:t xml:space="preserve"> </w:t>
      </w:r>
      <w:r w:rsidR="00A975FC" w:rsidRPr="0083045F">
        <w:rPr>
          <w:rFonts w:eastAsia="Calibri" w:cs="Times New Roman"/>
        </w:rPr>
        <w:t>(</w:t>
      </w:r>
      <w:r w:rsidR="00A975FC" w:rsidRPr="0083045F">
        <w:rPr>
          <w:rFonts w:cs="Times New Roman"/>
        </w:rPr>
        <w:t>Castrillo et all, 2010)</w:t>
      </w:r>
      <w:r w:rsidR="00A975FC" w:rsidRPr="0083045F">
        <w:rPr>
          <w:rFonts w:eastAsia="Calibri" w:cs="Times New Roman"/>
        </w:rPr>
        <w:t>.</w:t>
      </w:r>
    </w:p>
    <w:p w:rsidR="00951128" w:rsidRPr="0083045F" w:rsidRDefault="00951128" w:rsidP="0083045F">
      <w:pPr>
        <w:spacing w:line="240" w:lineRule="auto"/>
        <w:rPr>
          <w:rFonts w:cs="Times New Roman"/>
        </w:rPr>
      </w:pPr>
      <w:r w:rsidRPr="0083045F">
        <w:rPr>
          <w:rFonts w:cs="Times New Roman"/>
        </w:rPr>
        <w:t xml:space="preserve">În ultima perioadă se pune un accent tot mai mare pe rolul marilor acționari în calitate de proprietari, în special asupra rolului pe care </w:t>
      </w:r>
      <w:r w:rsidRPr="0083045F">
        <w:rPr>
          <w:rFonts w:cs="Times New Roman"/>
          <w:b/>
        </w:rPr>
        <w:t>investitorii instituționali</w:t>
      </w:r>
      <w:r w:rsidRPr="0083045F">
        <w:rPr>
          <w:rFonts w:cs="Times New Roman"/>
        </w:rPr>
        <w:t xml:space="preserve"> îl joacă în cadrul guvernanței corporative. Manzaneque  M. și colaboratorii</w:t>
      </w:r>
      <w:r w:rsidR="00A975FC" w:rsidRPr="0083045F">
        <w:rPr>
          <w:rFonts w:cs="Times New Roman"/>
        </w:rPr>
        <w:t xml:space="preserve"> </w:t>
      </w:r>
      <w:r w:rsidRPr="0083045F">
        <w:rPr>
          <w:rFonts w:cs="Times New Roman"/>
        </w:rPr>
        <w:t xml:space="preserve">au constatat că, directorii numiți de către acționarii instituționali rezistenți la presiune, cum ar fi fondurile de investiții, fondurile de pensii, de capital, </w:t>
      </w:r>
      <w:r w:rsidR="0097127E" w:rsidRPr="0083045F">
        <w:rPr>
          <w:rFonts w:cs="Times New Roman"/>
        </w:rPr>
        <w:t>etc.</w:t>
      </w:r>
      <w:r w:rsidRPr="0083045F">
        <w:rPr>
          <w:rFonts w:cs="Times New Roman"/>
        </w:rPr>
        <w:t xml:space="preserve">, au un impact negativ asupra neperformanței financiare și asupra probabității eșecului în afacere. Astfel, un procent mai mare de investitori instituționali în cadrul entității reprezintă un imbold pentru manageri în a fi eficienți și focusați asupra creșterii valorii companiei. </w:t>
      </w:r>
    </w:p>
    <w:p w:rsidR="00431CCC" w:rsidRPr="0083045F" w:rsidRDefault="00431CCC" w:rsidP="0083045F">
      <w:pPr>
        <w:spacing w:line="240" w:lineRule="auto"/>
        <w:rPr>
          <w:rStyle w:val="apple-converted-space"/>
          <w:rFonts w:cs="Times New Roman"/>
        </w:rPr>
      </w:pPr>
    </w:p>
    <w:p w:rsidR="00951128" w:rsidRPr="0083045F" w:rsidRDefault="0083045F" w:rsidP="0083045F">
      <w:pPr>
        <w:pStyle w:val="Listparagraf"/>
        <w:numPr>
          <w:ilvl w:val="0"/>
          <w:numId w:val="2"/>
        </w:numPr>
        <w:spacing w:line="240" w:lineRule="auto"/>
        <w:rPr>
          <w:rFonts w:cs="Times New Roman"/>
          <w:b/>
          <w:bCs/>
        </w:rPr>
      </w:pPr>
      <w:r w:rsidRPr="0083045F">
        <w:rPr>
          <w:rFonts w:cs="Times New Roman"/>
          <w:b/>
          <w:bCs/>
        </w:rPr>
        <w:t>REVIZUIREA LITERATURII PRIVIND AUDITUL</w:t>
      </w:r>
    </w:p>
    <w:p w:rsidR="0083045F" w:rsidRPr="0083045F" w:rsidRDefault="0083045F" w:rsidP="0083045F">
      <w:pPr>
        <w:pStyle w:val="Listparagraf"/>
        <w:spacing w:line="240" w:lineRule="auto"/>
        <w:ind w:left="1066" w:firstLine="0"/>
        <w:rPr>
          <w:rFonts w:cs="Times New Roman"/>
          <w:b/>
          <w:bCs/>
        </w:rPr>
      </w:pPr>
    </w:p>
    <w:p w:rsidR="00431CCC" w:rsidRPr="0083045F" w:rsidRDefault="00951128" w:rsidP="0083045F">
      <w:pPr>
        <w:spacing w:line="240" w:lineRule="auto"/>
        <w:rPr>
          <w:rStyle w:val="apple-converted-space"/>
          <w:rFonts w:cs="Times New Roman"/>
        </w:rPr>
      </w:pPr>
      <w:r w:rsidRPr="0083045F">
        <w:rPr>
          <w:rFonts w:cs="Times New Roman"/>
        </w:rPr>
        <w:t>Alături de caracteristicile specifice guvernanței corporative amintite mai sus, literatura de specialitate aduce în lumină și auditul, ca un sprijin de mare preț conducerii. Auditul intern cât și extern este un important mecanism de monitorizare în cadrul structurii de guvernanță corporativă, în special în ceea ce privește asigurarea acurateței și integrității raportării financiare și depistarea și prevenirea fraudei.</w:t>
      </w:r>
    </w:p>
    <w:p w:rsidR="00431CCC" w:rsidRPr="0083045F" w:rsidRDefault="00951128" w:rsidP="0083045F">
      <w:pPr>
        <w:spacing w:line="240" w:lineRule="auto"/>
        <w:rPr>
          <w:rStyle w:val="apple-converted-space"/>
          <w:rFonts w:cs="Times New Roman"/>
        </w:rPr>
      </w:pPr>
      <w:r w:rsidRPr="0083045F">
        <w:rPr>
          <w:rFonts w:cs="Times New Roman"/>
        </w:rPr>
        <w:t xml:space="preserve">Florin Dobre a reușit prin lucrarea sa, să evidențieze interdependența între guvernanța corporativă și auditul financiar. Rezultatele studiului au arătat că, </w:t>
      </w:r>
      <w:r w:rsidRPr="0083045F">
        <w:rPr>
          <w:rFonts w:cs="Times New Roman"/>
          <w:b/>
        </w:rPr>
        <w:t>remunerația auditorilor</w:t>
      </w:r>
      <w:r w:rsidRPr="0083045F">
        <w:rPr>
          <w:rFonts w:cs="Times New Roman"/>
        </w:rPr>
        <w:t xml:space="preserve"> este influențată de caracteristicile consiliului de administrație și de performanța financiară pe care a obținut-o entitatea. Așadar, atunci când entitățile au un sistem de management dual, când directorul executiv este diferit de directorul general, se alocă sume mai mari pentru procesul de audit. Între profitabilitatea entității și </w:t>
      </w:r>
      <w:r w:rsidRPr="0083045F">
        <w:rPr>
          <w:rFonts w:cs="Times New Roman"/>
          <w:b/>
        </w:rPr>
        <w:t>onorariile de audit</w:t>
      </w:r>
      <w:r w:rsidRPr="0083045F">
        <w:rPr>
          <w:rFonts w:cs="Times New Roman"/>
        </w:rPr>
        <w:t>, autorii au obținut o relație negativă, la fel și pentru existența unui comitet de audit. De asemenea, cu cât este mai mare o companie, sau cu cât este mai mare numărul de membri executivi din comitetul de conducere, cu atât este mai mică remunerația plătită auditorului, iar caracteristicile auditorului financiar par a avea un impact nesemnificativ asupra onorariilor de audit.</w:t>
      </w:r>
    </w:p>
    <w:p w:rsidR="00951128" w:rsidRPr="0083045F" w:rsidRDefault="00951128" w:rsidP="0083045F">
      <w:pPr>
        <w:spacing w:line="240" w:lineRule="auto"/>
        <w:rPr>
          <w:rFonts w:cs="Times New Roman"/>
        </w:rPr>
      </w:pPr>
      <w:r w:rsidRPr="0083045F">
        <w:rPr>
          <w:rFonts w:cs="Times New Roman"/>
        </w:rPr>
        <w:t xml:space="preserve">Revizuind studiile efectuate în domeniul auditului, am observat că </w:t>
      </w:r>
      <w:r w:rsidRPr="0083045F">
        <w:rPr>
          <w:rFonts w:cs="Times New Roman"/>
          <w:b/>
        </w:rPr>
        <w:t>problema taxelor de audit</w:t>
      </w:r>
      <w:r w:rsidRPr="0083045F">
        <w:rPr>
          <w:rFonts w:cs="Times New Roman"/>
        </w:rPr>
        <w:t xml:space="preserve"> este una delicată pentru companiile din întreaga lume. O influență semnificativă în creșterea acestora o are obligativitatea companiilor de raportare financiar-contabilă după Standardele Internaționale de Contabilitate (IFRS). Așa cum precizează Cristina de Fuentes și Eva Sierra-Grau într-un studiu efectuat în perioada 2002-2009 asupra companiilor spaniole, trecerea de la un sistem de raportare națională, la unul internațional, cu cerințe riguroase, a determinat o creștere semnificativă a taxelor de audit datorată complexității activității desfășurate de auditori și a volumului de muncă existent.</w:t>
      </w:r>
    </w:p>
    <w:p w:rsidR="00431CCC" w:rsidRPr="0083045F" w:rsidRDefault="00951128" w:rsidP="0083045F">
      <w:pPr>
        <w:spacing w:line="240" w:lineRule="auto"/>
        <w:rPr>
          <w:rFonts w:cs="Times New Roman"/>
        </w:rPr>
      </w:pPr>
      <w:r w:rsidRPr="0083045F">
        <w:rPr>
          <w:rFonts w:cs="Times New Roman"/>
        </w:rPr>
        <w:lastRenderedPageBreak/>
        <w:t xml:space="preserve">Un alt aspect analizat de cercetători  legat de caracteristica auditului în cadrul companiei, este cel al calității acestuia. </w:t>
      </w:r>
      <w:r w:rsidRPr="0083045F">
        <w:rPr>
          <w:rFonts w:cs="Times New Roman"/>
          <w:b/>
        </w:rPr>
        <w:t>Calitatea misiunilor de audit</w:t>
      </w:r>
      <w:r w:rsidRPr="0083045F">
        <w:rPr>
          <w:rFonts w:cs="Times New Roman"/>
        </w:rPr>
        <w:t xml:space="preserve"> este influențată în special de tipul auditorului, mai exact de apartenența acestuia la grupul Big 4, întrucât acestea oferă o credibilitate crescută a informațiilor din situațiile financiare auditate. O lucrare reprezentativă este cea a Mariei Grosu și colaboratorii</w:t>
      </w:r>
      <w:r w:rsidR="00A975FC" w:rsidRPr="0083045F">
        <w:rPr>
          <w:rFonts w:cs="Times New Roman"/>
        </w:rPr>
        <w:t xml:space="preserve"> </w:t>
      </w:r>
      <w:r w:rsidRPr="0083045F">
        <w:rPr>
          <w:rFonts w:cs="Times New Roman"/>
        </w:rPr>
        <w:t>în care se evidențiază faptul că, până în anul 2012, piața de audit era dominată de auditorii din Non Big 4, iar odată cu trecerea la IFRS, se înregistrează o preferință mai mare a entităților cotate la BVB pentru auditorii din Big 4. Acest aspect, se datorează, potrivit autorilor, expertizei crescute și resurselor de care dispun marile companii de audit în aplicarea IFRS în alte state, transmise și la nivelul birourilor din România.</w:t>
      </w:r>
    </w:p>
    <w:p w:rsidR="00951128" w:rsidRPr="0083045F" w:rsidRDefault="00951128" w:rsidP="0083045F">
      <w:pPr>
        <w:spacing w:line="240" w:lineRule="auto"/>
        <w:rPr>
          <w:rFonts w:cs="Times New Roman"/>
        </w:rPr>
      </w:pPr>
      <w:r w:rsidRPr="0083045F">
        <w:rPr>
          <w:rFonts w:cs="Times New Roman"/>
          <w:b/>
        </w:rPr>
        <w:t>Opinia auditorilor</w:t>
      </w:r>
      <w:r w:rsidRPr="0083045F">
        <w:rPr>
          <w:rFonts w:cs="Times New Roman"/>
        </w:rPr>
        <w:t xml:space="preserve"> privind situațiile financiare și impactul ei asupra performanței financiare reprezintă un alt subiect al cercetării noastre.  O cercetare recentă</w:t>
      </w:r>
      <w:r w:rsidR="00A975FC" w:rsidRPr="0083045F">
        <w:rPr>
          <w:rFonts w:cs="Times New Roman"/>
          <w:vertAlign w:val="superscript"/>
        </w:rPr>
        <w:t xml:space="preserve"> </w:t>
      </w:r>
      <w:r w:rsidR="00A975FC" w:rsidRPr="0083045F">
        <w:rPr>
          <w:rFonts w:eastAsia="Calibri" w:cs="Times New Roman"/>
        </w:rPr>
        <w:t xml:space="preserve">(Fülöp, Cordoş, 2013) </w:t>
      </w:r>
      <w:r w:rsidRPr="0083045F">
        <w:rPr>
          <w:rFonts w:cs="Times New Roman"/>
        </w:rPr>
        <w:t xml:space="preserve">a scos în evidență asocierile semnificative între tipul opiniei de audit, calitatatea auditului (Big4 sau nonBig 4) și referențialul contabil aplicat. Conform rezultatelor obținute, emiterea unei opinii de audit este influențată semnificativ de apartenența la un anumit auditor, de referențialul contabil aplicat și de obiectul de activitate al firmei auditate. Specific perioadei analizate, autorii au observat că, după trecerea la IFRS, numărul opiniilor de audit fără rezerve  a crescut, comparativ cu perioada dinainte de 2012, </w:t>
      </w:r>
      <w:r w:rsidR="0097127E" w:rsidRPr="0083045F">
        <w:rPr>
          <w:rFonts w:cs="Times New Roman"/>
        </w:rPr>
        <w:t>când</w:t>
      </w:r>
      <w:r w:rsidRPr="0083045F">
        <w:rPr>
          <w:rFonts w:cs="Times New Roman"/>
        </w:rPr>
        <w:t xml:space="preserve"> raportarea contabilă se realiza după reglementările contabile românești.</w:t>
      </w:r>
    </w:p>
    <w:p w:rsidR="00951128" w:rsidRPr="0083045F" w:rsidRDefault="00951128" w:rsidP="0083045F">
      <w:pPr>
        <w:spacing w:line="240" w:lineRule="auto"/>
        <w:rPr>
          <w:rFonts w:cs="Times New Roman"/>
        </w:rPr>
      </w:pPr>
      <w:r w:rsidRPr="0083045F">
        <w:rPr>
          <w:rFonts w:cs="Times New Roman"/>
        </w:rPr>
        <w:t>Gîrbină și colaboratorii analizând principiile de aplicare a guvernanţei corporative în cadrul companiilor listate la bursă, au concluzionat  faptul că, până în exercițiul financiar 2011, există în rapoartele auditorilor foarte multe opinii cu rezerve, justificate de aplicarea rudimentară a reglementărilor contabile privind recunoaşterea veniturilor,  evaluarea activelor și ierarhizarea datoriilor, deprecierea activelor, constituirea de provizioane, etc. După părerea unor cercetători</w:t>
      </w:r>
      <w:r w:rsidR="00A975FC" w:rsidRPr="0083045F">
        <w:rPr>
          <w:rFonts w:cs="Times New Roman"/>
        </w:rPr>
        <w:t xml:space="preserve"> </w:t>
      </w:r>
      <w:r w:rsidR="00A975FC" w:rsidRPr="0083045F">
        <w:rPr>
          <w:rFonts w:eastAsia="Calibri" w:cs="Times New Roman"/>
        </w:rPr>
        <w:t>(Rodger et al., 2009),</w:t>
      </w:r>
      <w:r w:rsidRPr="0083045F">
        <w:rPr>
          <w:rFonts w:cs="Times New Roman"/>
        </w:rPr>
        <w:t xml:space="preserve">, </w:t>
      </w:r>
      <w:r w:rsidRPr="0083045F">
        <w:rPr>
          <w:rFonts w:cs="Times New Roman"/>
          <w:b/>
        </w:rPr>
        <w:t>opiniile auditorilor</w:t>
      </w:r>
      <w:r w:rsidRPr="0083045F">
        <w:rPr>
          <w:rFonts w:cs="Times New Roman"/>
        </w:rPr>
        <w:t xml:space="preserve"> </w:t>
      </w:r>
      <w:r w:rsidRPr="0083045F">
        <w:rPr>
          <w:rFonts w:cs="Times New Roman"/>
          <w:b/>
        </w:rPr>
        <w:t>sunt în centrul guvernanței corporative</w:t>
      </w:r>
      <w:r w:rsidRPr="0083045F">
        <w:rPr>
          <w:rFonts w:cs="Times New Roman"/>
        </w:rPr>
        <w:t xml:space="preserve"> deoarece aceștia  se ocupă cu probleme importante de responsabilitate și de control, contracte și probleme de agenție, performanță și stimulente. Legiuitorii, mass-media și autoritățile de reglementare cer ca auditorii să joace un rol activ și independent în problemele legate de guvernanța corporativă.</w:t>
      </w:r>
    </w:p>
    <w:p w:rsidR="00B6737F" w:rsidRPr="0083045F" w:rsidRDefault="00B6737F" w:rsidP="0083045F">
      <w:pPr>
        <w:spacing w:line="240" w:lineRule="auto"/>
        <w:rPr>
          <w:rFonts w:cs="Times New Roman"/>
        </w:rPr>
      </w:pPr>
    </w:p>
    <w:p w:rsidR="00951128" w:rsidRPr="0083045F" w:rsidRDefault="0083045F" w:rsidP="0083045F">
      <w:pPr>
        <w:spacing w:line="240" w:lineRule="auto"/>
        <w:rPr>
          <w:rFonts w:cs="Times New Roman"/>
          <w:b/>
          <w:bCs/>
        </w:rPr>
      </w:pPr>
      <w:r w:rsidRPr="0083045F">
        <w:rPr>
          <w:rFonts w:cs="Times New Roman"/>
          <w:b/>
          <w:bCs/>
        </w:rPr>
        <w:t>4. STUDII PRIVIND PERFORMANȚA FINANCIARĂ</w:t>
      </w:r>
    </w:p>
    <w:p w:rsidR="00B6737F" w:rsidRPr="0083045F" w:rsidRDefault="00B6737F" w:rsidP="0083045F">
      <w:pPr>
        <w:spacing w:line="240" w:lineRule="auto"/>
        <w:rPr>
          <w:rFonts w:cs="Times New Roman"/>
          <w:b/>
          <w:bCs/>
        </w:rPr>
      </w:pPr>
    </w:p>
    <w:p w:rsidR="00951128" w:rsidRPr="0083045F" w:rsidRDefault="00951128" w:rsidP="0083045F">
      <w:pPr>
        <w:spacing w:line="240" w:lineRule="auto"/>
        <w:rPr>
          <w:rFonts w:cs="Times New Roman"/>
        </w:rPr>
      </w:pPr>
      <w:r w:rsidRPr="0083045F">
        <w:rPr>
          <w:rFonts w:cs="Times New Roman"/>
        </w:rPr>
        <w:t>Măsurarea performanței financiare a prezentat, de asemenea, probleme în studiile de guvernanță corporativă din prisma instrumentelor utilizate. Cu toate că indicatorul Q al lui Tobin ca o măsură a valorii de piață și de performanță financiară este frecvent utilizat, alte măsuri, cum ar fi rata de rentabilitate a activelor (ROA), rata de rentabilitate a capitalurilor proprii (ROE), creșterea vânzărilor și valoarea economică adăugată (EVA), prețurile de capital, au beneficiat de o mare atenție în alegerile cercetătorilor; EPS și profiturile au primit o oarecare atenție în studiile moderne de guvernanță . Este neclar  însă care variabilele de performanță financiară sunt puternic corelate cu guvernanța corporativă.</w:t>
      </w:r>
    </w:p>
    <w:p w:rsidR="00951128" w:rsidRPr="0083045F" w:rsidRDefault="00951128" w:rsidP="0083045F">
      <w:pPr>
        <w:spacing w:line="240" w:lineRule="auto"/>
        <w:rPr>
          <w:rFonts w:cs="Times New Roman"/>
        </w:rPr>
      </w:pPr>
      <w:r w:rsidRPr="0083045F">
        <w:rPr>
          <w:rFonts w:cs="Times New Roman"/>
        </w:rPr>
        <w:t xml:space="preserve">Relații pozitive între GC și performanța companiei măsurată </w:t>
      </w:r>
      <w:r w:rsidRPr="0083045F">
        <w:rPr>
          <w:rFonts w:cs="Times New Roman"/>
          <w:b/>
        </w:rPr>
        <w:t>cu ROA, ROE și Tobin Q</w:t>
      </w:r>
      <w:r w:rsidRPr="0083045F">
        <w:rPr>
          <w:rFonts w:cs="Times New Roman"/>
        </w:rPr>
        <w:t xml:space="preserve">,  au fost demonstrate de către Thomas H. Noe și  Jackie Krafft și colab., concluzia emergentă fiind aceea că, guvernanța corporativă se dezvoltă și depinde endogenic de caracteristicile specifice ale firmei și mediului său. </w:t>
      </w:r>
    </w:p>
    <w:p w:rsidR="00951128" w:rsidRPr="0083045F" w:rsidRDefault="00951128" w:rsidP="0083045F">
      <w:pPr>
        <w:spacing w:line="240" w:lineRule="auto"/>
        <w:rPr>
          <w:rFonts w:cs="Times New Roman"/>
        </w:rPr>
      </w:pPr>
      <w:r w:rsidRPr="0083045F">
        <w:rPr>
          <w:rFonts w:cs="Times New Roman"/>
        </w:rPr>
        <w:t>Esla &amp; Allam au arătat prin lucrarea lor că măsurile de performanță, cum ar fi: randamentul activelor (</w:t>
      </w:r>
      <w:r w:rsidRPr="0083045F">
        <w:rPr>
          <w:rFonts w:cs="Times New Roman"/>
          <w:b/>
        </w:rPr>
        <w:t>ROA</w:t>
      </w:r>
      <w:r w:rsidRPr="0083045F">
        <w:rPr>
          <w:rFonts w:cs="Times New Roman"/>
        </w:rPr>
        <w:t>) și rentabilitatea capitalului propriu (</w:t>
      </w:r>
      <w:r w:rsidRPr="0083045F">
        <w:rPr>
          <w:rFonts w:cs="Times New Roman"/>
          <w:b/>
        </w:rPr>
        <w:t>ROE</w:t>
      </w:r>
      <w:r w:rsidRPr="0083045F">
        <w:rPr>
          <w:rFonts w:cs="Times New Roman"/>
        </w:rPr>
        <w:t>) sunt strâns corelate de guvernanța corporativă. Cu toate acestea, câștigurile pe acțiune (</w:t>
      </w:r>
      <w:r w:rsidRPr="0083045F">
        <w:rPr>
          <w:rFonts w:cs="Times New Roman"/>
          <w:b/>
        </w:rPr>
        <w:t>EPS</w:t>
      </w:r>
      <w:r w:rsidRPr="0083045F">
        <w:rPr>
          <w:rFonts w:cs="Times New Roman"/>
        </w:rPr>
        <w:t xml:space="preserve">) ca măsură a performanței, nu a prezentat nicio modificare semnificativă ca urmare a administrării corporative. </w:t>
      </w:r>
      <w:r w:rsidR="00A975FC" w:rsidRPr="0083045F">
        <w:rPr>
          <w:rFonts w:cs="Times New Roman"/>
        </w:rPr>
        <w:t>Fatimoh , Veprauskaite și Adams</w:t>
      </w:r>
      <w:r w:rsidRPr="0083045F">
        <w:rPr>
          <w:rFonts w:cs="Times New Roman"/>
        </w:rPr>
        <w:t xml:space="preserve"> au realizat un studiu pentru a explora impactul mecanismelor de </w:t>
      </w:r>
      <w:r w:rsidRPr="0083045F">
        <w:rPr>
          <w:rFonts w:cs="Times New Roman"/>
        </w:rPr>
        <w:lastRenderedPageBreak/>
        <w:t xml:space="preserve">guvernanță corporativă asupra performanței financiare a companiei. Ei au folosit o perioadă de probă de cinci ani (2003-2008). Analiza a constatat că dualitatea CEO și procentul de acțiuni deținut de CEO,  are un impact negativ semnificativ asupra performanței </w:t>
      </w:r>
      <w:r w:rsidR="0097127E" w:rsidRPr="0083045F">
        <w:rPr>
          <w:rFonts w:cs="Times New Roman"/>
        </w:rPr>
        <w:t>financiare</w:t>
      </w:r>
      <w:r w:rsidRPr="0083045F">
        <w:rPr>
          <w:rFonts w:cs="Times New Roman"/>
        </w:rPr>
        <w:t xml:space="preserve"> exprimate cu </w:t>
      </w:r>
      <w:r w:rsidRPr="0083045F">
        <w:rPr>
          <w:rFonts w:cs="Times New Roman"/>
          <w:b/>
        </w:rPr>
        <w:t>ROE, ROA și indicatorul Tobin’s Q</w:t>
      </w:r>
      <w:r w:rsidRPr="0083045F">
        <w:rPr>
          <w:rFonts w:cs="Times New Roman"/>
        </w:rPr>
        <w:t>. Parametrul variabilei reprezentate de frecvența întrunirilor din cadrul consiliului de administrație este semnificativ și negativ pentru toate cele trei variabile dependente utilizate care exprimă performanța. De asemenea, coeficientul variabilei dummy (dualitate CEO) este tot semnificativ și negativ, însă, doar în situația folosirii ca variabilă dependentă a rentabilității economice. Coeficientul variabilei reprezentate de mărimea companiei s-a dovedit a fi semnificativ și pozitiv în cazul utilizării ca variabile dependente a ROE și ROA. În schimb, acesta este negativ în urma folosirii ca măsură a performanței a indicatorului Tobin’s Q. Concluzia generală obținută de cercetători este aceea că între dinamica CEO și performanța companiilor investigate  existentă o relație negativă.</w:t>
      </w:r>
    </w:p>
    <w:p w:rsidR="00A07F5D" w:rsidRPr="0083045F" w:rsidRDefault="00A07F5D" w:rsidP="0083045F">
      <w:pPr>
        <w:spacing w:line="240" w:lineRule="auto"/>
        <w:rPr>
          <w:rFonts w:cs="Times New Roman"/>
        </w:rPr>
      </w:pPr>
    </w:p>
    <w:p w:rsidR="00010A50" w:rsidRPr="0083045F" w:rsidRDefault="0083045F" w:rsidP="0083045F">
      <w:pPr>
        <w:spacing w:line="240" w:lineRule="auto"/>
        <w:rPr>
          <w:rFonts w:cs="Times New Roman"/>
          <w:b/>
        </w:rPr>
      </w:pPr>
      <w:r w:rsidRPr="0083045F">
        <w:rPr>
          <w:rFonts w:cs="Times New Roman"/>
          <w:b/>
        </w:rPr>
        <w:t>5. GUVERNANȚA CORPORATIVĂ ȘI AUDITUL ÎN RAPORT CU PERFORMANȚA FINANCIARĂ - IMPORTANȚĂ ȘI LIMITE</w:t>
      </w:r>
    </w:p>
    <w:p w:rsidR="00B6737F" w:rsidRPr="0083045F" w:rsidRDefault="00B6737F" w:rsidP="0083045F">
      <w:pPr>
        <w:spacing w:line="240" w:lineRule="auto"/>
        <w:rPr>
          <w:rFonts w:cs="Times New Roman"/>
          <w:b/>
        </w:rPr>
      </w:pPr>
    </w:p>
    <w:p w:rsidR="00A07F5D" w:rsidRPr="0083045F" w:rsidRDefault="005F4F59" w:rsidP="0083045F">
      <w:pPr>
        <w:spacing w:line="240" w:lineRule="auto"/>
        <w:rPr>
          <w:rFonts w:cs="Times New Roman"/>
        </w:rPr>
      </w:pPr>
      <w:r w:rsidRPr="0083045F">
        <w:rPr>
          <w:rFonts w:cs="Times New Roman"/>
        </w:rPr>
        <w:t xml:space="preserve">Ne </w:t>
      </w:r>
      <w:r w:rsidR="00010A50" w:rsidRPr="0083045F">
        <w:rPr>
          <w:rFonts w:cs="Times New Roman"/>
        </w:rPr>
        <w:t>propunem să evidențiem</w:t>
      </w:r>
      <w:r w:rsidRPr="0083045F">
        <w:rPr>
          <w:rFonts w:cs="Times New Roman"/>
        </w:rPr>
        <w:t xml:space="preserve"> în cele ce urmează importanța</w:t>
      </w:r>
      <w:r w:rsidR="00010A50" w:rsidRPr="0083045F">
        <w:rPr>
          <w:rFonts w:cs="Times New Roman"/>
        </w:rPr>
        <w:t xml:space="preserve"> analizei guvernanței corporative și a auditului în raport cu performanța întreprinderii</w:t>
      </w:r>
      <w:r w:rsidRPr="0083045F">
        <w:rPr>
          <w:rFonts w:cs="Times New Roman"/>
        </w:rPr>
        <w:t xml:space="preserve"> precum și limitele regăsite în urma acestei recenzii</w:t>
      </w:r>
      <w:r w:rsidR="00010A50" w:rsidRPr="0083045F">
        <w:rPr>
          <w:rFonts w:cs="Times New Roman"/>
        </w:rPr>
        <w:t>.</w:t>
      </w:r>
    </w:p>
    <w:p w:rsidR="00720051" w:rsidRPr="0083045F" w:rsidRDefault="00924C7D" w:rsidP="0083045F">
      <w:pPr>
        <w:spacing w:line="240" w:lineRule="auto"/>
        <w:rPr>
          <w:rFonts w:cs="Times New Roman"/>
        </w:rPr>
      </w:pPr>
      <w:r w:rsidRPr="0083045F">
        <w:rPr>
          <w:rFonts w:cs="Times New Roman"/>
        </w:rPr>
        <w:t>Luând în considerare interesul național pentru acest topic, ne-am</w:t>
      </w:r>
      <w:r w:rsidR="002D0AB6" w:rsidRPr="0083045F">
        <w:rPr>
          <w:rFonts w:cs="Times New Roman"/>
        </w:rPr>
        <w:t xml:space="preserve"> propus să cercetăm evoluția ar</w:t>
      </w:r>
      <w:r w:rsidRPr="0083045F">
        <w:rPr>
          <w:rFonts w:cs="Times New Roman"/>
        </w:rPr>
        <w:t>ticolelor</w:t>
      </w:r>
      <w:r w:rsidR="005F4F59" w:rsidRPr="0083045F">
        <w:rPr>
          <w:rFonts w:cs="Times New Roman"/>
        </w:rPr>
        <w:t xml:space="preserve"> naționale și internaționale</w:t>
      </w:r>
      <w:r w:rsidRPr="0083045F">
        <w:rPr>
          <w:rFonts w:cs="Times New Roman"/>
        </w:rPr>
        <w:t xml:space="preserve"> publicate cu tema ,,guvernanța corporativă </w:t>
      </w:r>
      <w:r w:rsidR="002D0AB6" w:rsidRPr="0083045F">
        <w:rPr>
          <w:rFonts w:cs="Times New Roman"/>
        </w:rPr>
        <w:t>în cadrul performanței financiare” și a celor cu tema ”</w:t>
      </w:r>
      <w:r w:rsidR="0097127E" w:rsidRPr="0083045F">
        <w:rPr>
          <w:rFonts w:cs="Times New Roman"/>
        </w:rPr>
        <w:t>influența</w:t>
      </w:r>
      <w:r w:rsidR="002D0AB6" w:rsidRPr="0083045F">
        <w:rPr>
          <w:rFonts w:cs="Times New Roman"/>
        </w:rPr>
        <w:t xml:space="preserve"> auditului în cadrul performanței financiare</w:t>
      </w:r>
      <w:r w:rsidR="005F4F59" w:rsidRPr="0083045F">
        <w:rPr>
          <w:rFonts w:cs="Times New Roman"/>
        </w:rPr>
        <w:t xml:space="preserve">”. </w:t>
      </w:r>
    </w:p>
    <w:p w:rsidR="00720051" w:rsidRPr="0083045F" w:rsidRDefault="00720051" w:rsidP="0083045F">
      <w:pPr>
        <w:spacing w:line="240" w:lineRule="auto"/>
        <w:rPr>
          <w:rFonts w:cs="Times New Roman"/>
        </w:rPr>
      </w:pPr>
      <w:r w:rsidRPr="0083045F">
        <w:rPr>
          <w:rFonts w:cs="Times New Roman"/>
        </w:rPr>
        <w:t>În acest sens, am consultat cele mai importante resurse electronice de documentare științifice din lume, cum ar fi: Thomson Reuters Web of Science, platforma SpringerLink, PROQUEST Central, Oxford Journals, Emerald Journals, precum și alte platforme de cercetare.  Aportul acestei cercetări este unul valoros este unul valoros atat pentru cercetătorii din aria financiar-contabila cât și pentru practicieni, și vizează identificarea provocărilor recente ale guvernanței corporative și auditului în influențarea performanței financiare a marilor companii din întreaga lume</w:t>
      </w:r>
    </w:p>
    <w:p w:rsidR="00A07F5D" w:rsidRPr="0083045F" w:rsidRDefault="00720051" w:rsidP="0083045F">
      <w:pPr>
        <w:spacing w:line="240" w:lineRule="auto"/>
        <w:rPr>
          <w:rFonts w:cs="Times New Roman"/>
        </w:rPr>
      </w:pPr>
      <w:r w:rsidRPr="0083045F">
        <w:rPr>
          <w:rFonts w:cs="Times New Roman"/>
        </w:rPr>
        <w:t>In prima instanta,</w:t>
      </w:r>
      <w:r w:rsidR="005F4F59" w:rsidRPr="0083045F">
        <w:rPr>
          <w:rFonts w:cs="Times New Roman"/>
        </w:rPr>
        <w:t xml:space="preserve"> am utilizat baza</w:t>
      </w:r>
      <w:r w:rsidR="002D0AB6" w:rsidRPr="0083045F">
        <w:rPr>
          <w:rFonts w:cs="Times New Roman"/>
        </w:rPr>
        <w:t xml:space="preserve"> de date Thompson Reuters Web of Science, unde am căutat articole publicate care să conțină în titlu, rezumat sau în cuvinte cheie noțiunile aferente temelor.</w:t>
      </w:r>
    </w:p>
    <w:p w:rsidR="00A07F5D" w:rsidRPr="0083045F" w:rsidRDefault="002D0AB6" w:rsidP="0083045F">
      <w:pPr>
        <w:spacing w:line="240" w:lineRule="auto"/>
        <w:rPr>
          <w:rFonts w:cs="Times New Roman"/>
        </w:rPr>
      </w:pPr>
      <w:r w:rsidRPr="0083045F">
        <w:rPr>
          <w:rFonts w:cs="Times New Roman"/>
        </w:rPr>
        <w:t>Figura</w:t>
      </w:r>
      <w:r w:rsidR="005F4F59" w:rsidRPr="0083045F">
        <w:rPr>
          <w:rFonts w:cs="Times New Roman"/>
        </w:rPr>
        <w:t xml:space="preserve"> nr.</w:t>
      </w:r>
      <w:r w:rsidRPr="0083045F">
        <w:rPr>
          <w:rFonts w:cs="Times New Roman"/>
        </w:rPr>
        <w:t xml:space="preserve"> 1 prezintă evoluția numărului de articole științifice publicate  precum și numărul citărilor cu tema ” guvernanța corporativă în cadrul performanței financiare” din ultimii 20 de ani.  Am obținut un total de 6024 de titluri care au fost indexate în baza de date. Numărul total al citărilor este uriaș, de 111906 ori, având o medie de citare pe articol de 18,58.  Din graficul prezentat, putem observa că</w:t>
      </w:r>
      <w:r w:rsidR="00AF591F" w:rsidRPr="0083045F">
        <w:rPr>
          <w:rFonts w:cs="Times New Roman"/>
        </w:rPr>
        <w:t xml:space="preserve"> interesul pentru topicul prezentat este în creștere, culminând cu anul 2010. Cu siguranță, criza economică ce a început în anul 2007 a avut un impact major în această evoluție. Dacă ne raportăm la numărul citărilor, putem observa o creștere continuă, anul 2015 fiind cel în care cercetătorii au dezbătut subiectul cel mai intens. </w:t>
      </w:r>
    </w:p>
    <w:p w:rsidR="005F4F59" w:rsidRPr="0083045F" w:rsidRDefault="00A07F5D" w:rsidP="0083045F">
      <w:pPr>
        <w:keepNext/>
        <w:spacing w:line="240" w:lineRule="auto"/>
        <w:ind w:firstLine="0"/>
        <w:rPr>
          <w:rFonts w:cs="Times New Roman"/>
        </w:rPr>
      </w:pPr>
      <w:r w:rsidRPr="0083045F">
        <w:rPr>
          <w:rFonts w:cs="Times New Roman"/>
          <w:noProof/>
          <w:lang w:eastAsia="ro-RO"/>
        </w:rPr>
        <w:lastRenderedPageBreak/>
        <w:drawing>
          <wp:inline distT="0" distB="0" distL="0" distR="0" wp14:anchorId="3768D4A3" wp14:editId="4BB24848">
            <wp:extent cx="5974715" cy="2505710"/>
            <wp:effectExtent l="0" t="0" r="698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4715" cy="2505710"/>
                    </a:xfrm>
                    <a:prstGeom prst="rect">
                      <a:avLst/>
                    </a:prstGeom>
                    <a:noFill/>
                  </pic:spPr>
                </pic:pic>
              </a:graphicData>
            </a:graphic>
          </wp:inline>
        </w:drawing>
      </w:r>
    </w:p>
    <w:p w:rsidR="005F4F59" w:rsidRPr="0083045F" w:rsidRDefault="005F4F59" w:rsidP="0083045F">
      <w:pPr>
        <w:pStyle w:val="Legend"/>
        <w:rPr>
          <w:rFonts w:cs="Times New Roman"/>
          <w:color w:val="auto"/>
        </w:rPr>
      </w:pPr>
      <w:r w:rsidRPr="0083045F">
        <w:rPr>
          <w:rFonts w:cs="Times New Roman"/>
          <w:color w:val="auto"/>
        </w:rPr>
        <w:t xml:space="preserve">Figure no. </w:t>
      </w:r>
      <w:r w:rsidRPr="0083045F">
        <w:rPr>
          <w:rFonts w:cs="Times New Roman"/>
          <w:color w:val="auto"/>
        </w:rPr>
        <w:fldChar w:fldCharType="begin"/>
      </w:r>
      <w:r w:rsidRPr="0083045F">
        <w:rPr>
          <w:rFonts w:cs="Times New Roman"/>
          <w:color w:val="auto"/>
        </w:rPr>
        <w:instrText xml:space="preserve"> SEQ Figure_no. \* ARABIC </w:instrText>
      </w:r>
      <w:r w:rsidRPr="0083045F">
        <w:rPr>
          <w:rFonts w:cs="Times New Roman"/>
          <w:color w:val="auto"/>
        </w:rPr>
        <w:fldChar w:fldCharType="separate"/>
      </w:r>
      <w:r w:rsidR="00AF3222" w:rsidRPr="0083045F">
        <w:rPr>
          <w:rFonts w:cs="Times New Roman"/>
          <w:noProof/>
          <w:color w:val="auto"/>
        </w:rPr>
        <w:t>1</w:t>
      </w:r>
      <w:r w:rsidRPr="0083045F">
        <w:rPr>
          <w:rFonts w:cs="Times New Roman"/>
          <w:color w:val="auto"/>
        </w:rPr>
        <w:fldChar w:fldCharType="end"/>
      </w:r>
      <w:r w:rsidRPr="0083045F">
        <w:rPr>
          <w:rFonts w:cs="Times New Roman"/>
          <w:color w:val="auto"/>
        </w:rPr>
        <w:t xml:space="preserve"> Evoluția numărului publicațiilor științifice și interesul acestora cu privire la tema ,,guvernanță corporativă” și ,,performanța financiară” în categoria Business Economics</w:t>
      </w:r>
    </w:p>
    <w:p w:rsidR="00B6737F" w:rsidRPr="0083045F" w:rsidRDefault="00B6737F" w:rsidP="0083045F">
      <w:pPr>
        <w:spacing w:line="240" w:lineRule="auto"/>
        <w:ind w:firstLine="720"/>
        <w:rPr>
          <w:rFonts w:cs="Times New Roman"/>
        </w:rPr>
      </w:pPr>
      <w:r w:rsidRPr="0083045F">
        <w:rPr>
          <w:rFonts w:cs="Times New Roman"/>
        </w:rPr>
        <w:t>Figura 2 prezintă evoluția numărului de articole științifice publicate  precum și numărul citărilor cu tema ” influența auditului în cadrul performanței financiare” din ultimii 20 de ani.  Am obținut un total de715 de titluri care au fost indexate în baza de date. Numărul total al citărilor este de 10887 ori, având o medie de citare pe articol de 15,23.  Graficul evidențiază un interes major pentru topic începând cu anul 2009. La fel ca și în cazul guvernanței, numărul cel mai mare al citărilor a fost în anul 2015.</w:t>
      </w:r>
    </w:p>
    <w:p w:rsidR="00B6737F" w:rsidRPr="0083045F" w:rsidRDefault="00B6737F" w:rsidP="0083045F">
      <w:pPr>
        <w:spacing w:line="240" w:lineRule="auto"/>
        <w:ind w:firstLine="0"/>
        <w:rPr>
          <w:rFonts w:cs="Times New Roman"/>
        </w:rPr>
      </w:pPr>
    </w:p>
    <w:p w:rsidR="005F4F59" w:rsidRPr="0083045F" w:rsidRDefault="00A07F5D" w:rsidP="0083045F">
      <w:pPr>
        <w:keepNext/>
        <w:spacing w:line="240" w:lineRule="auto"/>
        <w:rPr>
          <w:rFonts w:cs="Times New Roman"/>
        </w:rPr>
      </w:pPr>
      <w:r w:rsidRPr="0083045F">
        <w:rPr>
          <w:rFonts w:cs="Times New Roman"/>
          <w:noProof/>
          <w:lang w:eastAsia="ro-RO"/>
        </w:rPr>
        <w:drawing>
          <wp:inline distT="0" distB="0" distL="0" distR="0" wp14:anchorId="118BDA03" wp14:editId="3D374F20">
            <wp:extent cx="5972810" cy="226749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2810" cy="2267497"/>
                    </a:xfrm>
                    <a:prstGeom prst="rect">
                      <a:avLst/>
                    </a:prstGeom>
                    <a:noFill/>
                  </pic:spPr>
                </pic:pic>
              </a:graphicData>
            </a:graphic>
          </wp:inline>
        </w:drawing>
      </w:r>
    </w:p>
    <w:p w:rsidR="005F4F59" w:rsidRPr="0083045F" w:rsidRDefault="005F4F59" w:rsidP="0083045F">
      <w:pPr>
        <w:pStyle w:val="Legend"/>
        <w:rPr>
          <w:rFonts w:cs="Times New Roman"/>
          <w:color w:val="auto"/>
        </w:rPr>
      </w:pPr>
      <w:r w:rsidRPr="0083045F">
        <w:rPr>
          <w:rFonts w:cs="Times New Roman"/>
          <w:color w:val="auto"/>
        </w:rPr>
        <w:t xml:space="preserve">Figure no. </w:t>
      </w:r>
      <w:r w:rsidRPr="0083045F">
        <w:rPr>
          <w:rFonts w:cs="Times New Roman"/>
          <w:color w:val="auto"/>
        </w:rPr>
        <w:fldChar w:fldCharType="begin"/>
      </w:r>
      <w:r w:rsidRPr="0083045F">
        <w:rPr>
          <w:rFonts w:cs="Times New Roman"/>
          <w:color w:val="auto"/>
        </w:rPr>
        <w:instrText xml:space="preserve"> SEQ Figure_no. \* ARABIC </w:instrText>
      </w:r>
      <w:r w:rsidRPr="0083045F">
        <w:rPr>
          <w:rFonts w:cs="Times New Roman"/>
          <w:color w:val="auto"/>
        </w:rPr>
        <w:fldChar w:fldCharType="separate"/>
      </w:r>
      <w:r w:rsidR="00AF3222" w:rsidRPr="0083045F">
        <w:rPr>
          <w:rFonts w:cs="Times New Roman"/>
          <w:noProof/>
          <w:color w:val="auto"/>
        </w:rPr>
        <w:t>2</w:t>
      </w:r>
      <w:r w:rsidRPr="0083045F">
        <w:rPr>
          <w:rFonts w:cs="Times New Roman"/>
          <w:color w:val="auto"/>
        </w:rPr>
        <w:fldChar w:fldCharType="end"/>
      </w:r>
      <w:r w:rsidRPr="0083045F">
        <w:rPr>
          <w:rFonts w:cs="Times New Roman"/>
          <w:color w:val="auto"/>
        </w:rPr>
        <w:t xml:space="preserve"> Evoluția numărului publicațiilor științifice și interesul acestora cu privire la tema ,,auditul” și ,,performanța financiară” în categoria Business Economics</w:t>
      </w:r>
    </w:p>
    <w:p w:rsidR="00720051" w:rsidRPr="0083045F" w:rsidRDefault="00720051" w:rsidP="0083045F">
      <w:pPr>
        <w:spacing w:line="240" w:lineRule="auto"/>
        <w:rPr>
          <w:rFonts w:cs="Times New Roman"/>
          <w:bCs/>
          <w:sz w:val="20"/>
          <w:szCs w:val="18"/>
        </w:rPr>
      </w:pPr>
      <w:r w:rsidRPr="0083045F">
        <w:rPr>
          <w:rFonts w:cs="Times New Roman"/>
          <w:bCs/>
          <w:szCs w:val="18"/>
        </w:rPr>
        <w:t>Din figurile prezentate mai sus putem observa faptul că interesul cercetătorilor fată de subiectul GC, audit în raport cu performanta financiară este unul în creștere, citările articolelor culminând în anul 2015, fapt ce demonstrează că topicul este unul ,,fierbinte</w:t>
      </w:r>
      <w:r w:rsidRPr="0083045F">
        <w:rPr>
          <w:rFonts w:cs="Times New Roman"/>
          <w:bCs/>
          <w:sz w:val="20"/>
          <w:szCs w:val="18"/>
        </w:rPr>
        <w:t>”.</w:t>
      </w:r>
    </w:p>
    <w:p w:rsidR="0083045F" w:rsidRPr="0083045F" w:rsidRDefault="00AF3222" w:rsidP="0083045F">
      <w:pPr>
        <w:spacing w:line="240" w:lineRule="auto"/>
        <w:rPr>
          <w:rFonts w:cs="Times New Roman"/>
        </w:rPr>
      </w:pPr>
      <w:r w:rsidRPr="0083045F">
        <w:rPr>
          <w:rFonts w:cs="Times New Roman"/>
        </w:rPr>
        <w:t>Am luat în considerare și platforma Proquest Central pentru a evidenția care este ,,pulsul” domeniilor analizate. Din figurile 3 și 4 putem observa că, atât publ</w:t>
      </w:r>
      <w:r w:rsidR="009C60F1" w:rsidRPr="0083045F">
        <w:rPr>
          <w:rFonts w:cs="Times New Roman"/>
        </w:rPr>
        <w:t xml:space="preserve">icațiile științifice pe tema GC, </w:t>
      </w:r>
      <w:r w:rsidRPr="0083045F">
        <w:rPr>
          <w:rFonts w:cs="Times New Roman"/>
        </w:rPr>
        <w:t>cât și cele pe audit în raport cu performanța</w:t>
      </w:r>
      <w:r w:rsidR="009C60F1" w:rsidRPr="0083045F">
        <w:rPr>
          <w:rFonts w:cs="Times New Roman"/>
        </w:rPr>
        <w:t xml:space="preserve"> </w:t>
      </w:r>
      <w:r w:rsidRPr="0083045F">
        <w:rPr>
          <w:rFonts w:cs="Times New Roman"/>
        </w:rPr>
        <w:t xml:space="preserve">au  </w:t>
      </w:r>
      <w:r w:rsidR="00061BD0" w:rsidRPr="0083045F">
        <w:rPr>
          <w:rFonts w:cs="Times New Roman"/>
        </w:rPr>
        <w:t xml:space="preserve">parte de o creștere semnificativă începând cu anul 2010, și culminează cu anul 2016. </w:t>
      </w:r>
      <w:r w:rsidR="00A75C45" w:rsidRPr="0083045F">
        <w:rPr>
          <w:rFonts w:cs="Times New Roman"/>
        </w:rPr>
        <w:t xml:space="preserve">Atragem atenția asupra faptului că, subiectul ,,guvernanță corporativă este unul destul de actual, primul articol ce conține conceptul a apărut prima dată în </w:t>
      </w:r>
      <w:r w:rsidR="00A75C45" w:rsidRPr="0083045F">
        <w:rPr>
          <w:rFonts w:cs="Times New Roman"/>
        </w:rPr>
        <w:lastRenderedPageBreak/>
        <w:t>anul 1973, pe când noțiunea de audit a fost dezbătută încă din anii 1937. Cu toate acestea, manifestările științifice au fost puse în lumină după anii 2000.</w:t>
      </w:r>
      <w:r w:rsidRPr="0083045F">
        <w:rPr>
          <w:rFonts w:cs="Times New Roman"/>
        </w:rPr>
        <w:t xml:space="preserve">  </w:t>
      </w:r>
    </w:p>
    <w:p w:rsidR="00AF3222" w:rsidRPr="0083045F" w:rsidRDefault="0083045F" w:rsidP="0083045F">
      <w:pPr>
        <w:spacing w:line="240" w:lineRule="auto"/>
        <w:rPr>
          <w:rFonts w:cs="Times New Roman"/>
        </w:rPr>
      </w:pPr>
      <w:r w:rsidRPr="0083045F">
        <w:rPr>
          <w:rFonts w:cs="Times New Roman"/>
          <w:noProof/>
          <w:lang w:eastAsia="ro-RO"/>
        </w:rPr>
        <w:drawing>
          <wp:anchor distT="0" distB="0" distL="114300" distR="114300" simplePos="0" relativeHeight="251658240" behindDoc="0" locked="0" layoutInCell="1" allowOverlap="1" wp14:anchorId="0DE354A5" wp14:editId="6533057F">
            <wp:simplePos x="0" y="0"/>
            <wp:positionH relativeFrom="margin">
              <wp:posOffset>-31750</wp:posOffset>
            </wp:positionH>
            <wp:positionV relativeFrom="margin">
              <wp:posOffset>523240</wp:posOffset>
            </wp:positionV>
            <wp:extent cx="2806700" cy="1550035"/>
            <wp:effectExtent l="0" t="0" r="0" b="0"/>
            <wp:wrapSquare wrapText="bothSides"/>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6700" cy="1550035"/>
                    </a:xfrm>
                    <a:prstGeom prst="rect">
                      <a:avLst/>
                    </a:prstGeom>
                    <a:noFill/>
                    <a:ln>
                      <a:noFill/>
                    </a:ln>
                  </pic:spPr>
                </pic:pic>
              </a:graphicData>
            </a:graphic>
            <wp14:sizeRelH relativeFrom="margin">
              <wp14:pctWidth>0</wp14:pctWidth>
            </wp14:sizeRelH>
          </wp:anchor>
        </w:drawing>
      </w:r>
      <w:r w:rsidR="00AF3222" w:rsidRPr="0083045F">
        <w:rPr>
          <w:rFonts w:cs="Times New Roman"/>
        </w:rPr>
        <w:t xml:space="preserve">                  </w:t>
      </w:r>
      <w:r w:rsidRPr="0083045F">
        <w:rPr>
          <w:rFonts w:cs="Times New Roman"/>
          <w:noProof/>
          <w:lang w:eastAsia="ro-RO"/>
        </w:rPr>
        <w:drawing>
          <wp:inline distT="0" distB="0" distL="0" distR="0" wp14:anchorId="7166C4E2" wp14:editId="0E9BF396">
            <wp:extent cx="2860243" cy="1509631"/>
            <wp:effectExtent l="0" t="0" r="0" b="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8073" cy="1513764"/>
                    </a:xfrm>
                    <a:prstGeom prst="rect">
                      <a:avLst/>
                    </a:prstGeom>
                    <a:noFill/>
                    <a:ln>
                      <a:noFill/>
                    </a:ln>
                  </pic:spPr>
                </pic:pic>
              </a:graphicData>
            </a:graphic>
          </wp:inline>
        </w:drawing>
      </w:r>
    </w:p>
    <w:p w:rsidR="00041668" w:rsidRPr="0083045F" w:rsidRDefault="00061BD0" w:rsidP="0083045F">
      <w:pPr>
        <w:pStyle w:val="Legend"/>
        <w:rPr>
          <w:rFonts w:cs="Times New Roman"/>
          <w:color w:val="auto"/>
        </w:rPr>
      </w:pPr>
      <w:r w:rsidRPr="0083045F">
        <w:rPr>
          <w:rFonts w:cs="Times New Roman"/>
          <w:noProof/>
          <w:color w:val="auto"/>
        </w:rPr>
        <mc:AlternateContent>
          <mc:Choice Requires="wps">
            <w:drawing>
              <wp:anchor distT="0" distB="0" distL="114300" distR="114300" simplePos="0" relativeHeight="251660288" behindDoc="0" locked="0" layoutInCell="1" allowOverlap="1" wp14:anchorId="0FDC811C" wp14:editId="1951CAD1">
                <wp:simplePos x="0" y="0"/>
                <wp:positionH relativeFrom="column">
                  <wp:posOffset>-2919730</wp:posOffset>
                </wp:positionH>
                <wp:positionV relativeFrom="paragraph">
                  <wp:posOffset>89535</wp:posOffset>
                </wp:positionV>
                <wp:extent cx="2694940" cy="635"/>
                <wp:effectExtent l="0" t="0" r="0" b="6350"/>
                <wp:wrapSquare wrapText="bothSides"/>
                <wp:docPr id="5" name="Casetă text 5"/>
                <wp:cNvGraphicFramePr/>
                <a:graphic xmlns:a="http://schemas.openxmlformats.org/drawingml/2006/main">
                  <a:graphicData uri="http://schemas.microsoft.com/office/word/2010/wordprocessingShape">
                    <wps:wsp>
                      <wps:cNvSpPr txBox="1"/>
                      <wps:spPr>
                        <a:xfrm>
                          <a:off x="0" y="0"/>
                          <a:ext cx="2694940" cy="635"/>
                        </a:xfrm>
                        <a:prstGeom prst="rect">
                          <a:avLst/>
                        </a:prstGeom>
                        <a:solidFill>
                          <a:prstClr val="white"/>
                        </a:solidFill>
                        <a:ln>
                          <a:noFill/>
                        </a:ln>
                        <a:effectLst/>
                      </wps:spPr>
                      <wps:txbx>
                        <w:txbxContent>
                          <w:p w:rsidR="00AF3222" w:rsidRPr="00AF3222" w:rsidRDefault="00AF3222" w:rsidP="0083045F">
                            <w:pPr>
                              <w:pStyle w:val="Legend"/>
                              <w:rPr>
                                <w:noProof/>
                                <w:color w:val="auto"/>
                                <w:sz w:val="24"/>
                              </w:rPr>
                            </w:pPr>
                            <w:r w:rsidRPr="00AF3222">
                              <w:rPr>
                                <w:color w:val="auto"/>
                              </w:rPr>
                              <w:t xml:space="preserve">Figure no. </w:t>
                            </w:r>
                            <w:r w:rsidRPr="00AF3222">
                              <w:rPr>
                                <w:color w:val="auto"/>
                              </w:rPr>
                              <w:fldChar w:fldCharType="begin"/>
                            </w:r>
                            <w:r w:rsidRPr="00AF3222">
                              <w:rPr>
                                <w:color w:val="auto"/>
                              </w:rPr>
                              <w:instrText xml:space="preserve"> SEQ Figure_no. \* ARABIC </w:instrText>
                            </w:r>
                            <w:r w:rsidRPr="00AF3222">
                              <w:rPr>
                                <w:color w:val="auto"/>
                              </w:rPr>
                              <w:fldChar w:fldCharType="separate"/>
                            </w:r>
                            <w:r w:rsidRPr="00AF3222">
                              <w:rPr>
                                <w:noProof/>
                                <w:color w:val="auto"/>
                              </w:rPr>
                              <w:t>3</w:t>
                            </w:r>
                            <w:r w:rsidRPr="00AF3222">
                              <w:rPr>
                                <w:color w:val="auto"/>
                              </w:rPr>
                              <w:fldChar w:fldCharType="end"/>
                            </w:r>
                            <w:r w:rsidRPr="00AF3222">
                              <w:rPr>
                                <w:color w:val="auto"/>
                              </w:rPr>
                              <w:t xml:space="preserve"> Evoluția publicațiilor științifice pe tema GC și performanța financiară  - Proquest Central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Casetă text 5" o:spid="_x0000_s1026" type="#_x0000_t202" style="position:absolute;left:0;text-align:left;margin-left:-229.9pt;margin-top:7.05pt;width:212.2pt;height:.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" stroked="f">
                <v:textbox style="mso-fit-shape-to-text:t" inset="0,0,0,0">
                  <w:txbxContent>
                    <w:p w:rsidR="00AF3222" w:rsidRPr="00AF3222" w:rsidRDefault="00AF3222" w:rsidP="0083045F">
                      <w:pPr>
                        <w:pStyle w:val="Legend"/>
                        <w:rPr>
                          <w:noProof/>
                          <w:color w:val="auto"/>
                          <w:sz w:val="24"/>
                        </w:rPr>
                      </w:pPr>
                      <w:r w:rsidRPr="00AF3222">
                        <w:rPr>
                          <w:color w:val="auto"/>
                        </w:rPr>
                        <w:t xml:space="preserve">Figure no. </w:t>
                      </w:r>
                      <w:r w:rsidRPr="00AF3222">
                        <w:rPr>
                          <w:color w:val="auto"/>
                        </w:rPr>
                        <w:fldChar w:fldCharType="begin"/>
                      </w:r>
                      <w:r w:rsidRPr="00AF3222">
                        <w:rPr>
                          <w:color w:val="auto"/>
                        </w:rPr>
                        <w:instrText xml:space="preserve"> SEQ Figure_no. \* ARABIC </w:instrText>
                      </w:r>
                      <w:r w:rsidRPr="00AF3222">
                        <w:rPr>
                          <w:color w:val="auto"/>
                        </w:rPr>
                        <w:fldChar w:fldCharType="separate"/>
                      </w:r>
                      <w:r w:rsidRPr="00AF3222">
                        <w:rPr>
                          <w:noProof/>
                          <w:color w:val="auto"/>
                        </w:rPr>
                        <w:t>3</w:t>
                      </w:r>
                      <w:r w:rsidRPr="00AF3222">
                        <w:rPr>
                          <w:color w:val="auto"/>
                        </w:rPr>
                        <w:fldChar w:fldCharType="end"/>
                      </w:r>
                      <w:r w:rsidRPr="00AF3222">
                        <w:rPr>
                          <w:color w:val="auto"/>
                        </w:rPr>
                        <w:t xml:space="preserve"> Evoluția publicațiilor științifice pe tema GC și performanța financiară  - Proquest Central</w:t>
                      </w:r>
                    </w:p>
                  </w:txbxContent>
                </v:textbox>
                <w10:wrap type="square"/>
              </v:shape>
            </w:pict>
          </mc:Fallback>
        </mc:AlternateContent>
      </w:r>
      <w:r w:rsidR="00AF3222" w:rsidRPr="0083045F">
        <w:rPr>
          <w:rFonts w:cs="Times New Roman"/>
          <w:color w:val="auto"/>
        </w:rPr>
        <w:t xml:space="preserve">Figure no. </w:t>
      </w:r>
      <w:r w:rsidR="00AF3222" w:rsidRPr="0083045F">
        <w:rPr>
          <w:rFonts w:cs="Times New Roman"/>
          <w:color w:val="auto"/>
        </w:rPr>
        <w:fldChar w:fldCharType="begin"/>
      </w:r>
      <w:r w:rsidR="00AF3222" w:rsidRPr="0083045F">
        <w:rPr>
          <w:rFonts w:cs="Times New Roman"/>
          <w:color w:val="auto"/>
        </w:rPr>
        <w:instrText xml:space="preserve"> SEQ Figure_no. \* ARABIC </w:instrText>
      </w:r>
      <w:r w:rsidR="00AF3222" w:rsidRPr="0083045F">
        <w:rPr>
          <w:rFonts w:cs="Times New Roman"/>
          <w:color w:val="auto"/>
        </w:rPr>
        <w:fldChar w:fldCharType="separate"/>
      </w:r>
      <w:r w:rsidR="00AF3222" w:rsidRPr="0083045F">
        <w:rPr>
          <w:rFonts w:cs="Times New Roman"/>
          <w:noProof/>
          <w:color w:val="auto"/>
        </w:rPr>
        <w:t>4</w:t>
      </w:r>
      <w:r w:rsidR="00AF3222" w:rsidRPr="0083045F">
        <w:rPr>
          <w:rFonts w:cs="Times New Roman"/>
          <w:color w:val="auto"/>
        </w:rPr>
        <w:fldChar w:fldCharType="end"/>
      </w:r>
      <w:r w:rsidR="00AF3222" w:rsidRPr="0083045F">
        <w:rPr>
          <w:rFonts w:cs="Times New Roman"/>
          <w:b w:val="0"/>
          <w:bCs w:val="0"/>
          <w:color w:val="auto"/>
          <w:sz w:val="24"/>
          <w:szCs w:val="22"/>
        </w:rPr>
        <w:t xml:space="preserve"> </w:t>
      </w:r>
      <w:r w:rsidR="00AF3222" w:rsidRPr="0083045F">
        <w:rPr>
          <w:rFonts w:cs="Times New Roman"/>
          <w:color w:val="auto"/>
        </w:rPr>
        <w:t xml:space="preserve">Evoluția publicațiilor științifice  </w:t>
      </w:r>
      <w:r w:rsidRPr="0083045F">
        <w:rPr>
          <w:rFonts w:cs="Times New Roman"/>
          <w:color w:val="auto"/>
        </w:rPr>
        <w:t xml:space="preserve">pe tema audit </w:t>
      </w:r>
      <w:r w:rsidR="00AF3222" w:rsidRPr="0083045F">
        <w:rPr>
          <w:rFonts w:cs="Times New Roman"/>
          <w:color w:val="auto"/>
        </w:rPr>
        <w:t xml:space="preserve">și performanța </w:t>
      </w:r>
      <w:r w:rsidR="0046639B" w:rsidRPr="0083045F">
        <w:rPr>
          <w:rFonts w:cs="Times New Roman"/>
          <w:color w:val="auto"/>
        </w:rPr>
        <w:t>financiară  - Proquest Central</w:t>
      </w:r>
    </w:p>
    <w:p w:rsidR="00041668" w:rsidRPr="0083045F" w:rsidRDefault="00041668" w:rsidP="0083045F">
      <w:pPr>
        <w:pStyle w:val="Legend"/>
        <w:jc w:val="both"/>
        <w:rPr>
          <w:rFonts w:cs="Times New Roman"/>
          <w:color w:val="auto"/>
        </w:rPr>
      </w:pPr>
    </w:p>
    <w:p w:rsidR="00A07F5D" w:rsidRPr="0083045F" w:rsidRDefault="009C60F1" w:rsidP="0083045F">
      <w:pPr>
        <w:pStyle w:val="Legend"/>
        <w:jc w:val="both"/>
        <w:rPr>
          <w:rFonts w:cs="Times New Roman"/>
          <w:b w:val="0"/>
          <w:color w:val="auto"/>
        </w:rPr>
      </w:pPr>
      <w:r w:rsidRPr="0083045F">
        <w:rPr>
          <w:rFonts w:cs="Times New Roman"/>
          <w:b w:val="0"/>
          <w:color w:val="auto"/>
        </w:rPr>
        <w:t xml:space="preserve">Pentru a avea o certitudine asupra interesului acordat de cercetători în domeniile analizate, am procedat la analiza numărului de publicații științifice </w:t>
      </w:r>
      <w:r w:rsidR="00A66382" w:rsidRPr="0083045F">
        <w:rPr>
          <w:rFonts w:cs="Times New Roman"/>
          <w:b w:val="0"/>
          <w:color w:val="auto"/>
        </w:rPr>
        <w:t>pe alte</w:t>
      </w:r>
      <w:r w:rsidRPr="0083045F">
        <w:rPr>
          <w:rFonts w:cs="Times New Roman"/>
          <w:b w:val="0"/>
          <w:color w:val="auto"/>
        </w:rPr>
        <w:t xml:space="preserve"> platforme </w:t>
      </w:r>
      <w:r w:rsidR="00A66382" w:rsidRPr="0083045F">
        <w:rPr>
          <w:rFonts w:cs="Times New Roman"/>
          <w:b w:val="0"/>
          <w:color w:val="auto"/>
        </w:rPr>
        <w:t xml:space="preserve">după cum putem observa în tabelul nr.1. </w:t>
      </w:r>
      <w:r w:rsidRPr="0083045F">
        <w:rPr>
          <w:rFonts w:cs="Times New Roman"/>
          <w:b w:val="0"/>
          <w:color w:val="auto"/>
        </w:rPr>
        <w:t xml:space="preserve">La o simplă </w:t>
      </w:r>
      <w:r w:rsidR="00A66382" w:rsidRPr="0083045F">
        <w:rPr>
          <w:rFonts w:cs="Times New Roman"/>
          <w:b w:val="0"/>
          <w:color w:val="auto"/>
        </w:rPr>
        <w:t>căutare după cuvintele cheie: guvernanță corporativă</w:t>
      </w:r>
      <w:r w:rsidRPr="0083045F">
        <w:rPr>
          <w:rFonts w:cs="Times New Roman"/>
          <w:b w:val="0"/>
          <w:color w:val="auto"/>
        </w:rPr>
        <w:t xml:space="preserve"> și performanța financiară, </w:t>
      </w:r>
      <w:r w:rsidR="00A66382" w:rsidRPr="0083045F">
        <w:rPr>
          <w:rFonts w:cs="Times New Roman"/>
          <w:b w:val="0"/>
          <w:color w:val="auto"/>
        </w:rPr>
        <w:t>precum și audit și performanța financiară,</w:t>
      </w:r>
      <w:r w:rsidR="003A2205" w:rsidRPr="0083045F">
        <w:rPr>
          <w:rFonts w:cs="Times New Roman"/>
          <w:b w:val="0"/>
          <w:color w:val="auto"/>
        </w:rPr>
        <w:t xml:space="preserve"> în categoria Științe sociale,</w:t>
      </w:r>
      <w:r w:rsidR="00A66382" w:rsidRPr="0083045F">
        <w:rPr>
          <w:rFonts w:cs="Times New Roman"/>
          <w:b w:val="0"/>
          <w:color w:val="auto"/>
        </w:rPr>
        <w:t xml:space="preserve"> am obținut următoarele rezultate:</w:t>
      </w:r>
    </w:p>
    <w:p w:rsidR="0046639B" w:rsidRPr="0083045F" w:rsidRDefault="0046639B" w:rsidP="0083045F">
      <w:pPr>
        <w:pStyle w:val="Legend"/>
        <w:keepNext/>
        <w:rPr>
          <w:rFonts w:cs="Times New Roman"/>
          <w:color w:val="auto"/>
        </w:rPr>
      </w:pPr>
      <w:r w:rsidRPr="0083045F">
        <w:rPr>
          <w:rFonts w:cs="Times New Roman"/>
          <w:color w:val="auto"/>
        </w:rPr>
        <w:t xml:space="preserve">Tabel no. </w:t>
      </w:r>
      <w:r w:rsidRPr="0083045F">
        <w:rPr>
          <w:rFonts w:cs="Times New Roman"/>
          <w:color w:val="auto"/>
        </w:rPr>
        <w:fldChar w:fldCharType="begin"/>
      </w:r>
      <w:r w:rsidRPr="0083045F">
        <w:rPr>
          <w:rFonts w:cs="Times New Roman"/>
          <w:color w:val="auto"/>
        </w:rPr>
        <w:instrText xml:space="preserve"> SEQ Tabel_no. \* ARABIC </w:instrText>
      </w:r>
      <w:r w:rsidRPr="0083045F">
        <w:rPr>
          <w:rFonts w:cs="Times New Roman"/>
          <w:color w:val="auto"/>
        </w:rPr>
        <w:fldChar w:fldCharType="separate"/>
      </w:r>
      <w:r w:rsidRPr="0083045F">
        <w:rPr>
          <w:rFonts w:cs="Times New Roman"/>
          <w:noProof/>
          <w:color w:val="auto"/>
        </w:rPr>
        <w:t>1</w:t>
      </w:r>
      <w:r w:rsidRPr="0083045F">
        <w:rPr>
          <w:rFonts w:cs="Times New Roman"/>
          <w:color w:val="auto"/>
        </w:rPr>
        <w:fldChar w:fldCharType="end"/>
      </w:r>
      <w:r w:rsidRPr="0083045F">
        <w:rPr>
          <w:rFonts w:cs="Times New Roman"/>
          <w:color w:val="auto"/>
        </w:rPr>
        <w:t xml:space="preserve"> Evoluția publicațiilor științifice pe tema Audit și GC în raport cu performanța financiară – top platforme/baze de date</w:t>
      </w:r>
    </w:p>
    <w:tbl>
      <w:tblPr>
        <w:tblStyle w:val="Listmedie2-Accentuare1"/>
        <w:tblW w:w="0" w:type="auto"/>
        <w:tblLook w:val="04A0" w:firstRow="1" w:lastRow="0" w:firstColumn="1" w:lastColumn="0" w:noHBand="0" w:noVBand="1"/>
      </w:tblPr>
      <w:tblGrid>
        <w:gridCol w:w="478"/>
        <w:gridCol w:w="2330"/>
        <w:gridCol w:w="3600"/>
        <w:gridCol w:w="3214"/>
      </w:tblGrid>
      <w:tr w:rsidR="0083045F" w:rsidRPr="0083045F" w:rsidTr="003A220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78"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DBE5F1" w:themeFill="accent1" w:themeFillTint="33"/>
          </w:tcPr>
          <w:p w:rsidR="00A66382" w:rsidRPr="0083045F" w:rsidRDefault="00A66382" w:rsidP="0083045F">
            <w:pPr>
              <w:spacing w:line="240" w:lineRule="auto"/>
              <w:ind w:firstLine="0"/>
              <w:rPr>
                <w:rFonts w:cs="Times New Roman"/>
                <w:color w:val="auto"/>
                <w:sz w:val="20"/>
              </w:rPr>
            </w:pPr>
            <w:r w:rsidRPr="0083045F">
              <w:rPr>
                <w:rFonts w:cs="Times New Roman"/>
                <w:color w:val="auto"/>
                <w:sz w:val="20"/>
              </w:rPr>
              <w:t>Nr. crt.</w:t>
            </w:r>
          </w:p>
        </w:tc>
        <w:tc>
          <w:tcPr>
            <w:tcW w:w="233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DBE5F1" w:themeFill="accent1" w:themeFillTint="33"/>
            <w:vAlign w:val="center"/>
          </w:tcPr>
          <w:p w:rsidR="00A66382" w:rsidRPr="0083045F" w:rsidRDefault="00A66382" w:rsidP="0083045F">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cs="Times New Roman"/>
                <w:color w:val="auto"/>
                <w:sz w:val="20"/>
              </w:rPr>
            </w:pPr>
            <w:r w:rsidRPr="0083045F">
              <w:rPr>
                <w:rFonts w:cs="Times New Roman"/>
                <w:color w:val="auto"/>
                <w:sz w:val="20"/>
              </w:rPr>
              <w:t>Platforma analizată</w:t>
            </w:r>
          </w:p>
        </w:tc>
        <w:tc>
          <w:tcPr>
            <w:tcW w:w="360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DBE5F1" w:themeFill="accent1" w:themeFillTint="33"/>
          </w:tcPr>
          <w:p w:rsidR="00A66382" w:rsidRPr="0083045F" w:rsidRDefault="00A66382" w:rsidP="0083045F">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cs="Times New Roman"/>
                <w:color w:val="auto"/>
                <w:sz w:val="20"/>
              </w:rPr>
            </w:pPr>
            <w:r w:rsidRPr="0083045F">
              <w:rPr>
                <w:rFonts w:cs="Times New Roman"/>
                <w:color w:val="auto"/>
                <w:sz w:val="20"/>
              </w:rPr>
              <w:t xml:space="preserve">Nr. publicațiilor științifice pe tema:  </w:t>
            </w:r>
          </w:p>
          <w:p w:rsidR="00A66382" w:rsidRPr="0083045F" w:rsidRDefault="00A66382" w:rsidP="0083045F">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cs="Times New Roman"/>
                <w:color w:val="auto"/>
                <w:sz w:val="20"/>
              </w:rPr>
            </w:pPr>
            <w:r w:rsidRPr="0083045F">
              <w:rPr>
                <w:rFonts w:cs="Times New Roman"/>
                <w:b/>
                <w:color w:val="auto"/>
                <w:sz w:val="20"/>
              </w:rPr>
              <w:t>GC și performanța financiară</w:t>
            </w:r>
          </w:p>
        </w:tc>
        <w:tc>
          <w:tcPr>
            <w:tcW w:w="3214"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DBE5F1" w:themeFill="accent1" w:themeFillTint="33"/>
          </w:tcPr>
          <w:p w:rsidR="00A66382" w:rsidRPr="0083045F" w:rsidRDefault="00A66382" w:rsidP="0083045F">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cs="Times New Roman"/>
                <w:color w:val="auto"/>
                <w:sz w:val="20"/>
              </w:rPr>
            </w:pPr>
            <w:r w:rsidRPr="0083045F">
              <w:rPr>
                <w:rFonts w:cs="Times New Roman"/>
                <w:color w:val="auto"/>
                <w:sz w:val="20"/>
              </w:rPr>
              <w:t>N</w:t>
            </w:r>
            <w:r w:rsidRPr="0083045F">
              <w:rPr>
                <w:rFonts w:cs="Times New Roman"/>
                <w:color w:val="auto"/>
                <w:sz w:val="20"/>
              </w:rPr>
              <w:t>r.</w:t>
            </w:r>
            <w:r w:rsidRPr="0083045F">
              <w:rPr>
                <w:rFonts w:cs="Times New Roman"/>
                <w:color w:val="auto"/>
                <w:sz w:val="20"/>
              </w:rPr>
              <w:t xml:space="preserve"> publicațiilor științifice pe tema:  </w:t>
            </w:r>
            <w:r w:rsidRPr="0083045F">
              <w:rPr>
                <w:rFonts w:cs="Times New Roman"/>
                <w:b/>
                <w:color w:val="auto"/>
                <w:sz w:val="20"/>
              </w:rPr>
              <w:t>audit</w:t>
            </w:r>
            <w:r w:rsidRPr="0083045F">
              <w:rPr>
                <w:rFonts w:cs="Times New Roman"/>
                <w:b/>
                <w:color w:val="auto"/>
                <w:sz w:val="20"/>
              </w:rPr>
              <w:t xml:space="preserve"> și performanța financiară</w:t>
            </w:r>
          </w:p>
        </w:tc>
      </w:tr>
      <w:tr w:rsidR="0083045F" w:rsidRPr="0083045F" w:rsidTr="003A22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 w:type="dxa"/>
            <w:tcBorders>
              <w:top w:val="single" w:sz="12" w:space="0" w:color="1F497D" w:themeColor="text2"/>
            </w:tcBorders>
          </w:tcPr>
          <w:p w:rsidR="00A66382" w:rsidRPr="0083045F" w:rsidRDefault="00A66382" w:rsidP="0083045F">
            <w:pPr>
              <w:spacing w:line="240" w:lineRule="auto"/>
              <w:ind w:firstLine="0"/>
              <w:rPr>
                <w:rFonts w:cs="Times New Roman"/>
                <w:color w:val="auto"/>
                <w:sz w:val="20"/>
              </w:rPr>
            </w:pPr>
            <w:r w:rsidRPr="0083045F">
              <w:rPr>
                <w:rFonts w:cs="Times New Roman"/>
                <w:color w:val="auto"/>
                <w:sz w:val="20"/>
              </w:rPr>
              <w:t>1.</w:t>
            </w:r>
          </w:p>
        </w:tc>
        <w:tc>
          <w:tcPr>
            <w:tcW w:w="2330" w:type="dxa"/>
            <w:tcBorders>
              <w:top w:val="single" w:sz="12" w:space="0" w:color="1F497D" w:themeColor="text2"/>
            </w:tcBorders>
          </w:tcPr>
          <w:p w:rsidR="00A66382" w:rsidRPr="0083045F" w:rsidRDefault="00A66382" w:rsidP="0083045F">
            <w:pPr>
              <w:spacing w:line="240" w:lineRule="auto"/>
              <w:ind w:firstLine="0"/>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83045F">
              <w:rPr>
                <w:rFonts w:cs="Times New Roman"/>
                <w:color w:val="auto"/>
                <w:sz w:val="20"/>
              </w:rPr>
              <w:t>Proquest Central</w:t>
            </w:r>
          </w:p>
        </w:tc>
        <w:tc>
          <w:tcPr>
            <w:tcW w:w="3600" w:type="dxa"/>
            <w:tcBorders>
              <w:top w:val="single" w:sz="12" w:space="0" w:color="1F497D" w:themeColor="text2"/>
            </w:tcBorders>
          </w:tcPr>
          <w:p w:rsidR="00A66382" w:rsidRPr="0083045F" w:rsidRDefault="00A66382" w:rsidP="0083045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83045F">
              <w:rPr>
                <w:rFonts w:cs="Times New Roman"/>
                <w:color w:val="auto"/>
                <w:sz w:val="20"/>
              </w:rPr>
              <w:t>27.242</w:t>
            </w:r>
          </w:p>
        </w:tc>
        <w:tc>
          <w:tcPr>
            <w:tcW w:w="3214" w:type="dxa"/>
            <w:tcBorders>
              <w:top w:val="single" w:sz="12" w:space="0" w:color="1F497D" w:themeColor="text2"/>
            </w:tcBorders>
          </w:tcPr>
          <w:p w:rsidR="00A66382" w:rsidRPr="0083045F" w:rsidRDefault="00A66382" w:rsidP="0083045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83045F">
              <w:rPr>
                <w:rFonts w:cs="Times New Roman"/>
                <w:color w:val="auto"/>
                <w:sz w:val="20"/>
              </w:rPr>
              <w:t>51.053</w:t>
            </w:r>
          </w:p>
        </w:tc>
      </w:tr>
      <w:tr w:rsidR="0083045F" w:rsidRPr="0083045F" w:rsidTr="00A66382">
        <w:tc>
          <w:tcPr>
            <w:cnfStyle w:val="001000000000" w:firstRow="0" w:lastRow="0" w:firstColumn="1" w:lastColumn="0" w:oddVBand="0" w:evenVBand="0" w:oddHBand="0" w:evenHBand="0" w:firstRowFirstColumn="0" w:firstRowLastColumn="0" w:lastRowFirstColumn="0" w:lastRowLastColumn="0"/>
            <w:tcW w:w="478" w:type="dxa"/>
          </w:tcPr>
          <w:p w:rsidR="00A66382" w:rsidRPr="0083045F" w:rsidRDefault="00A66382" w:rsidP="0083045F">
            <w:pPr>
              <w:spacing w:line="240" w:lineRule="auto"/>
              <w:ind w:firstLine="0"/>
              <w:rPr>
                <w:rFonts w:cs="Times New Roman"/>
                <w:color w:val="auto"/>
                <w:sz w:val="20"/>
              </w:rPr>
            </w:pPr>
            <w:r w:rsidRPr="0083045F">
              <w:rPr>
                <w:rFonts w:cs="Times New Roman"/>
                <w:color w:val="auto"/>
                <w:sz w:val="20"/>
              </w:rPr>
              <w:t>2.</w:t>
            </w:r>
          </w:p>
        </w:tc>
        <w:tc>
          <w:tcPr>
            <w:tcW w:w="2330" w:type="dxa"/>
          </w:tcPr>
          <w:p w:rsidR="00A66382" w:rsidRPr="0083045F" w:rsidRDefault="00A66382" w:rsidP="0083045F">
            <w:pPr>
              <w:spacing w:line="240" w:lineRule="auto"/>
              <w:ind w:firstLine="0"/>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83045F">
              <w:rPr>
                <w:rFonts w:cs="Times New Roman"/>
                <w:color w:val="auto"/>
                <w:sz w:val="20"/>
              </w:rPr>
              <w:t xml:space="preserve">SpringerLink, </w:t>
            </w:r>
          </w:p>
        </w:tc>
        <w:tc>
          <w:tcPr>
            <w:tcW w:w="3600" w:type="dxa"/>
          </w:tcPr>
          <w:p w:rsidR="00A66382" w:rsidRPr="0083045F" w:rsidRDefault="00A66382" w:rsidP="0083045F">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83045F">
              <w:rPr>
                <w:rFonts w:cs="Times New Roman"/>
                <w:color w:val="auto"/>
                <w:sz w:val="20"/>
              </w:rPr>
              <w:t>25.591</w:t>
            </w:r>
          </w:p>
        </w:tc>
        <w:tc>
          <w:tcPr>
            <w:tcW w:w="3214" w:type="dxa"/>
          </w:tcPr>
          <w:p w:rsidR="00A66382" w:rsidRPr="0083045F" w:rsidRDefault="00A66382" w:rsidP="0083045F">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83045F">
              <w:rPr>
                <w:rFonts w:cs="Times New Roman"/>
                <w:color w:val="auto"/>
                <w:sz w:val="20"/>
              </w:rPr>
              <w:t>28.385</w:t>
            </w:r>
          </w:p>
        </w:tc>
      </w:tr>
      <w:tr w:rsidR="0083045F" w:rsidRPr="0083045F" w:rsidTr="00A663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 w:type="dxa"/>
          </w:tcPr>
          <w:p w:rsidR="00A66382" w:rsidRPr="0083045F" w:rsidRDefault="00A66382" w:rsidP="0083045F">
            <w:pPr>
              <w:spacing w:line="240" w:lineRule="auto"/>
              <w:ind w:firstLine="0"/>
              <w:rPr>
                <w:rFonts w:cs="Times New Roman"/>
                <w:color w:val="auto"/>
                <w:sz w:val="20"/>
              </w:rPr>
            </w:pPr>
            <w:r w:rsidRPr="0083045F">
              <w:rPr>
                <w:rFonts w:cs="Times New Roman"/>
                <w:color w:val="auto"/>
                <w:sz w:val="20"/>
              </w:rPr>
              <w:t>3.</w:t>
            </w:r>
          </w:p>
        </w:tc>
        <w:tc>
          <w:tcPr>
            <w:tcW w:w="2330" w:type="dxa"/>
          </w:tcPr>
          <w:p w:rsidR="00A66382" w:rsidRPr="0083045F" w:rsidRDefault="00A66382" w:rsidP="0083045F">
            <w:pPr>
              <w:spacing w:line="240" w:lineRule="auto"/>
              <w:ind w:firstLine="0"/>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83045F">
              <w:rPr>
                <w:rFonts w:cs="Times New Roman"/>
                <w:color w:val="auto"/>
                <w:sz w:val="20"/>
              </w:rPr>
              <w:t>Oxford Journals</w:t>
            </w:r>
          </w:p>
        </w:tc>
        <w:tc>
          <w:tcPr>
            <w:tcW w:w="3600" w:type="dxa"/>
          </w:tcPr>
          <w:p w:rsidR="00A66382" w:rsidRPr="0083045F" w:rsidRDefault="00A66382" w:rsidP="0083045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83045F">
              <w:rPr>
                <w:rFonts w:cs="Times New Roman"/>
                <w:color w:val="auto"/>
                <w:sz w:val="20"/>
              </w:rPr>
              <w:t>2.853</w:t>
            </w:r>
          </w:p>
        </w:tc>
        <w:tc>
          <w:tcPr>
            <w:tcW w:w="3214" w:type="dxa"/>
          </w:tcPr>
          <w:p w:rsidR="00A66382" w:rsidRPr="0083045F" w:rsidRDefault="00A66382" w:rsidP="0083045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83045F">
              <w:rPr>
                <w:rFonts w:cs="Times New Roman"/>
                <w:color w:val="auto"/>
                <w:sz w:val="20"/>
              </w:rPr>
              <w:t>1.475</w:t>
            </w:r>
          </w:p>
        </w:tc>
      </w:tr>
      <w:tr w:rsidR="0083045F" w:rsidRPr="0083045F" w:rsidTr="00A66382">
        <w:tc>
          <w:tcPr>
            <w:cnfStyle w:val="001000000000" w:firstRow="0" w:lastRow="0" w:firstColumn="1" w:lastColumn="0" w:oddVBand="0" w:evenVBand="0" w:oddHBand="0" w:evenHBand="0" w:firstRowFirstColumn="0" w:firstRowLastColumn="0" w:lastRowFirstColumn="0" w:lastRowLastColumn="0"/>
            <w:tcW w:w="478" w:type="dxa"/>
          </w:tcPr>
          <w:p w:rsidR="003A2205" w:rsidRPr="0083045F" w:rsidRDefault="003A2205" w:rsidP="0083045F">
            <w:pPr>
              <w:spacing w:line="240" w:lineRule="auto"/>
              <w:ind w:firstLine="0"/>
              <w:rPr>
                <w:rFonts w:cs="Times New Roman"/>
                <w:color w:val="auto"/>
                <w:sz w:val="20"/>
              </w:rPr>
            </w:pPr>
            <w:r w:rsidRPr="0083045F">
              <w:rPr>
                <w:rFonts w:cs="Times New Roman"/>
                <w:color w:val="auto"/>
                <w:sz w:val="20"/>
              </w:rPr>
              <w:t>4.</w:t>
            </w:r>
          </w:p>
        </w:tc>
        <w:tc>
          <w:tcPr>
            <w:tcW w:w="2330" w:type="dxa"/>
          </w:tcPr>
          <w:p w:rsidR="003A2205" w:rsidRPr="0083045F" w:rsidRDefault="003A2205" w:rsidP="0083045F">
            <w:pPr>
              <w:spacing w:line="240" w:lineRule="auto"/>
              <w:ind w:firstLine="0"/>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83045F">
              <w:rPr>
                <w:rFonts w:cs="Times New Roman"/>
                <w:color w:val="auto"/>
                <w:sz w:val="20"/>
              </w:rPr>
              <w:t>Science Direct</w:t>
            </w:r>
          </w:p>
        </w:tc>
        <w:tc>
          <w:tcPr>
            <w:tcW w:w="3600" w:type="dxa"/>
          </w:tcPr>
          <w:p w:rsidR="003A2205" w:rsidRPr="0083045F" w:rsidRDefault="003A2205" w:rsidP="0083045F">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83045F">
              <w:rPr>
                <w:rFonts w:cs="Times New Roman"/>
                <w:color w:val="auto"/>
                <w:sz w:val="20"/>
              </w:rPr>
              <w:t>16.929</w:t>
            </w:r>
          </w:p>
        </w:tc>
        <w:tc>
          <w:tcPr>
            <w:tcW w:w="3214" w:type="dxa"/>
          </w:tcPr>
          <w:p w:rsidR="003A2205" w:rsidRPr="0083045F" w:rsidRDefault="003A2205" w:rsidP="0083045F">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83045F">
              <w:rPr>
                <w:rFonts w:cs="Times New Roman"/>
                <w:color w:val="auto"/>
                <w:sz w:val="20"/>
              </w:rPr>
              <w:t>13.742</w:t>
            </w:r>
          </w:p>
        </w:tc>
      </w:tr>
      <w:tr w:rsidR="0083045F" w:rsidRPr="0083045F" w:rsidTr="00A663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 w:type="dxa"/>
          </w:tcPr>
          <w:p w:rsidR="00A66382" w:rsidRPr="0083045F" w:rsidRDefault="003A2205" w:rsidP="0083045F">
            <w:pPr>
              <w:spacing w:line="240" w:lineRule="auto"/>
              <w:ind w:firstLine="0"/>
              <w:rPr>
                <w:rFonts w:cs="Times New Roman"/>
                <w:color w:val="auto"/>
                <w:sz w:val="20"/>
              </w:rPr>
            </w:pPr>
            <w:r w:rsidRPr="0083045F">
              <w:rPr>
                <w:rFonts w:cs="Times New Roman"/>
                <w:color w:val="auto"/>
                <w:sz w:val="20"/>
              </w:rPr>
              <w:t xml:space="preserve">5. </w:t>
            </w:r>
          </w:p>
        </w:tc>
        <w:tc>
          <w:tcPr>
            <w:tcW w:w="2330" w:type="dxa"/>
          </w:tcPr>
          <w:p w:rsidR="00A66382" w:rsidRPr="0083045F" w:rsidRDefault="003A2205" w:rsidP="0083045F">
            <w:pPr>
              <w:spacing w:line="240" w:lineRule="auto"/>
              <w:ind w:firstLine="0"/>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83045F">
              <w:rPr>
                <w:rFonts w:cs="Times New Roman"/>
                <w:color w:val="auto"/>
                <w:sz w:val="20"/>
              </w:rPr>
              <w:t>Wiley Journals</w:t>
            </w:r>
          </w:p>
        </w:tc>
        <w:tc>
          <w:tcPr>
            <w:tcW w:w="3600" w:type="dxa"/>
          </w:tcPr>
          <w:p w:rsidR="00A66382" w:rsidRPr="0083045F" w:rsidRDefault="003A2205" w:rsidP="0083045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83045F">
              <w:rPr>
                <w:rFonts w:cs="Times New Roman"/>
                <w:color w:val="auto"/>
                <w:sz w:val="20"/>
              </w:rPr>
              <w:t>27.815</w:t>
            </w:r>
          </w:p>
        </w:tc>
        <w:tc>
          <w:tcPr>
            <w:tcW w:w="3214" w:type="dxa"/>
          </w:tcPr>
          <w:p w:rsidR="00A66382" w:rsidRPr="0083045F" w:rsidRDefault="003A2205" w:rsidP="0083045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83045F">
              <w:rPr>
                <w:rFonts w:cs="Times New Roman"/>
                <w:color w:val="auto"/>
                <w:sz w:val="20"/>
              </w:rPr>
              <w:t>31.634</w:t>
            </w:r>
          </w:p>
        </w:tc>
      </w:tr>
      <w:tr w:rsidR="0083045F" w:rsidRPr="0083045F" w:rsidTr="00A66382">
        <w:tc>
          <w:tcPr>
            <w:cnfStyle w:val="001000000000" w:firstRow="0" w:lastRow="0" w:firstColumn="1" w:lastColumn="0" w:oddVBand="0" w:evenVBand="0" w:oddHBand="0" w:evenHBand="0" w:firstRowFirstColumn="0" w:firstRowLastColumn="0" w:lastRowFirstColumn="0" w:lastRowLastColumn="0"/>
            <w:tcW w:w="478" w:type="dxa"/>
          </w:tcPr>
          <w:p w:rsidR="003A2205" w:rsidRPr="0083045F" w:rsidRDefault="003A2205" w:rsidP="0083045F">
            <w:pPr>
              <w:spacing w:line="240" w:lineRule="auto"/>
              <w:ind w:firstLine="0"/>
              <w:rPr>
                <w:rFonts w:cs="Times New Roman"/>
                <w:color w:val="auto"/>
                <w:sz w:val="20"/>
              </w:rPr>
            </w:pPr>
            <w:r w:rsidRPr="0083045F">
              <w:rPr>
                <w:rFonts w:cs="Times New Roman"/>
                <w:color w:val="auto"/>
                <w:sz w:val="20"/>
              </w:rPr>
              <w:t>6.</w:t>
            </w:r>
          </w:p>
        </w:tc>
        <w:tc>
          <w:tcPr>
            <w:tcW w:w="2330" w:type="dxa"/>
          </w:tcPr>
          <w:p w:rsidR="003A2205" w:rsidRPr="0083045F" w:rsidRDefault="003A2205" w:rsidP="0083045F">
            <w:pPr>
              <w:spacing w:line="240" w:lineRule="auto"/>
              <w:ind w:firstLine="0"/>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83045F">
              <w:rPr>
                <w:rFonts w:cs="Times New Roman"/>
                <w:color w:val="auto"/>
                <w:sz w:val="20"/>
              </w:rPr>
              <w:t>Emerald Journals</w:t>
            </w:r>
          </w:p>
        </w:tc>
        <w:tc>
          <w:tcPr>
            <w:tcW w:w="3600" w:type="dxa"/>
          </w:tcPr>
          <w:p w:rsidR="003A2205" w:rsidRPr="0083045F" w:rsidRDefault="003A2205" w:rsidP="0083045F">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83045F">
              <w:rPr>
                <w:rFonts w:cs="Times New Roman"/>
                <w:color w:val="auto"/>
                <w:sz w:val="20"/>
              </w:rPr>
              <w:t>15.208</w:t>
            </w:r>
          </w:p>
        </w:tc>
        <w:tc>
          <w:tcPr>
            <w:tcW w:w="3214" w:type="dxa"/>
          </w:tcPr>
          <w:p w:rsidR="003A2205" w:rsidRPr="0083045F" w:rsidRDefault="003A2205" w:rsidP="0083045F">
            <w:pPr>
              <w:keepNext/>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83045F">
              <w:rPr>
                <w:rFonts w:cs="Times New Roman"/>
                <w:color w:val="auto"/>
                <w:sz w:val="20"/>
              </w:rPr>
              <w:t>16.270</w:t>
            </w:r>
          </w:p>
        </w:tc>
      </w:tr>
    </w:tbl>
    <w:p w:rsidR="00A66382" w:rsidRPr="0083045F" w:rsidRDefault="00041668" w:rsidP="0083045F">
      <w:pPr>
        <w:spacing w:line="240" w:lineRule="auto"/>
        <w:jc w:val="center"/>
        <w:rPr>
          <w:rFonts w:cs="Times New Roman"/>
          <w:sz w:val="20"/>
          <w:szCs w:val="20"/>
        </w:rPr>
      </w:pPr>
      <w:r w:rsidRPr="0083045F">
        <w:rPr>
          <w:rFonts w:cs="Times New Roman"/>
          <w:sz w:val="20"/>
          <w:szCs w:val="20"/>
        </w:rPr>
        <w:t xml:space="preserve">Sursa: </w:t>
      </w:r>
      <w:r w:rsidR="00C27FD9" w:rsidRPr="0083045F">
        <w:rPr>
          <w:rFonts w:cs="Times New Roman"/>
          <w:sz w:val="20"/>
          <w:szCs w:val="20"/>
        </w:rPr>
        <w:t>prelucracre proprie</w:t>
      </w:r>
    </w:p>
    <w:p w:rsidR="003C067B" w:rsidRPr="0083045F" w:rsidRDefault="003C067B" w:rsidP="0083045F">
      <w:pPr>
        <w:spacing w:line="240" w:lineRule="auto"/>
        <w:rPr>
          <w:rFonts w:cs="Times New Roman"/>
        </w:rPr>
      </w:pPr>
    </w:p>
    <w:p w:rsidR="003C067B" w:rsidRPr="0083045F" w:rsidRDefault="003C067B" w:rsidP="0083045F">
      <w:pPr>
        <w:spacing w:line="240" w:lineRule="auto"/>
        <w:rPr>
          <w:rFonts w:cs="Times New Roman"/>
        </w:rPr>
      </w:pPr>
      <w:r w:rsidRPr="0083045F">
        <w:rPr>
          <w:rFonts w:cs="Times New Roman"/>
        </w:rPr>
        <w:t xml:space="preserve">Ne ridicăm întrebarea, care ar fi limitele guvernanței corporative? Cum am precizat în prima parte a articolului, guvernanța însemnă modalitatea în care entitățile sunt conduse. În această circumstanță, nu trebuie să identificăm ,,actorii” și nici să definim ,,scena” pe care aceștia activează. Judecând în urma analizei studiilor numeroase efectuate în domeniu, percepțiile diferă funcție de scopul guvernanță. Pentru unii sunt importante principiile și bunele practici, pentru alții, GC înseamnă relațiile dintre proprietari și corporații, despre exercitarea puterii de către acționari, investitori instituționali, iar pentru unii cercetători guvernanța înseamnă responsabilitate socială îndreptată asupra stakeholderilor. </w:t>
      </w:r>
    </w:p>
    <w:p w:rsidR="00503CAB" w:rsidRPr="0083045F" w:rsidRDefault="003C067B" w:rsidP="0083045F">
      <w:pPr>
        <w:spacing w:line="240" w:lineRule="auto"/>
        <w:rPr>
          <w:rFonts w:cs="Times New Roman"/>
        </w:rPr>
      </w:pPr>
      <w:r w:rsidRPr="0083045F">
        <w:rPr>
          <w:rFonts w:cs="Times New Roman"/>
        </w:rPr>
        <w:t>Cu toate că începând cu anii 90 interesul academicienilor asupra topicului a explodat, cercetătorii nu au reușit mult timp să ofere o explicație fermă asupra modului în care guvernanța funcționează. Astăzi, frontierele guvernanței sunt înlăturate rapid prin faptul că buna guvernanță este recunoscută de investitori și de organele de reglementare. Întrucât procesul de conducere afectează piețele financiare mondiale, putem spune că importanța guvernanței corporative în asigurarea succesului pe termen lung a companiei este deosebită. Putem spune asadar, ca limitele cercetarii nostre sunt evidentiate de aspecte de ordin politic, social si cultural a</w:t>
      </w:r>
      <w:r w:rsidR="0083045F">
        <w:rPr>
          <w:rFonts w:cs="Times New Roman"/>
        </w:rPr>
        <w:t>le natiunilor din intreaga lume</w:t>
      </w:r>
    </w:p>
    <w:p w:rsidR="00503CAB" w:rsidRPr="0083045F" w:rsidRDefault="001C3422" w:rsidP="0083045F">
      <w:pPr>
        <w:spacing w:line="240" w:lineRule="auto"/>
        <w:rPr>
          <w:rFonts w:cs="Times New Roman"/>
          <w:b/>
        </w:rPr>
      </w:pPr>
      <w:r w:rsidRPr="0083045F">
        <w:rPr>
          <w:rFonts w:cs="Times New Roman"/>
          <w:b/>
        </w:rPr>
        <w:lastRenderedPageBreak/>
        <w:t>6. CONCLUZII</w:t>
      </w:r>
    </w:p>
    <w:p w:rsidR="00041668" w:rsidRPr="0083045F" w:rsidRDefault="00041668" w:rsidP="0083045F">
      <w:pPr>
        <w:spacing w:line="240" w:lineRule="auto"/>
        <w:rPr>
          <w:rFonts w:cs="Times New Roman"/>
        </w:rPr>
      </w:pPr>
    </w:p>
    <w:p w:rsidR="00A73049" w:rsidRPr="0083045F" w:rsidRDefault="00A73049" w:rsidP="0083045F">
      <w:pPr>
        <w:spacing w:line="240" w:lineRule="auto"/>
        <w:rPr>
          <w:rFonts w:cs="Times New Roman"/>
        </w:rPr>
      </w:pPr>
      <w:r w:rsidRPr="0083045F">
        <w:rPr>
          <w:rFonts w:cs="Times New Roman"/>
        </w:rPr>
        <w:t>Este guvernanta corporativa importanta? Are auditul un rol semnificativ in cadrul companiei? Aceste doua concepte: GC si auditul, pot influenta performanta financiara a unei organizatii? Prin intermediul acestui articol ne-am propus sa raspundem la intrebarile de mai sus. Am ales sa clarificam aceste aspecte prin analiza a peste 70 de studii empirice efecuate de catre cercetatori din toata lumea.</w:t>
      </w:r>
    </w:p>
    <w:p w:rsidR="00A73049" w:rsidRPr="0083045F" w:rsidRDefault="00A73049" w:rsidP="0083045F">
      <w:pPr>
        <w:spacing w:line="240" w:lineRule="auto"/>
        <w:rPr>
          <w:rFonts w:cs="Times New Roman"/>
        </w:rPr>
      </w:pPr>
      <w:r w:rsidRPr="0083045F">
        <w:rPr>
          <w:rFonts w:cs="Times New Roman"/>
        </w:rPr>
        <w:t xml:space="preserve">Publicatiile stiintifice evaluate au aratat faptul ca, mecanismele de guvernanta corporativa influenteaza performanta financiara, unele in mod pozitiv, altele intr-o maniera negativa, dar este cert ca au un impact semnificativ asupra acesteia. Astfel, structura bordului de conducere, prin caracteristici precum: independenta consiliului de administratie, dualitatea CEO, numarul intalnirilor membrilor consiliului, indemnizatiile conducerii,  existenta comitetelor consultative si a investitorilor institutionali </w:t>
      </w:r>
      <w:r w:rsidR="001C3422" w:rsidRPr="0083045F">
        <w:rPr>
          <w:rFonts w:cs="Times New Roman"/>
        </w:rPr>
        <w:t xml:space="preserve">sunt corelate cu indicatori de performanta. </w:t>
      </w:r>
    </w:p>
    <w:p w:rsidR="001C3422" w:rsidRPr="0083045F" w:rsidRDefault="001C3422" w:rsidP="0083045F">
      <w:pPr>
        <w:spacing w:line="240" w:lineRule="auto"/>
        <w:rPr>
          <w:rFonts w:cs="Times New Roman"/>
        </w:rPr>
      </w:pPr>
      <w:r w:rsidRPr="0083045F">
        <w:rPr>
          <w:rFonts w:cs="Times New Roman"/>
        </w:rPr>
        <w:t>Daca luam in calcul auditul, putem spune ca atat calitatea acestuia, numarul misiunilor de audit, taxele de audit cat si stabilitatea colaborarii firmei de audit sunt puternic corelate cu performanta financiara in termeni de rate de rentabilitate (ROA, ROE, ROI), indicatorul Tobin Q, valoarea economica adaugata (EVA), etc.</w:t>
      </w:r>
    </w:p>
    <w:p w:rsidR="00A07F5D" w:rsidRPr="0083045F" w:rsidRDefault="00041668" w:rsidP="0083045F">
      <w:pPr>
        <w:spacing w:line="240" w:lineRule="auto"/>
        <w:rPr>
          <w:rFonts w:cs="Times New Roman"/>
        </w:rPr>
      </w:pPr>
      <w:r w:rsidRPr="0083045F">
        <w:rPr>
          <w:rFonts w:cs="Times New Roman"/>
        </w:rPr>
        <w:t xml:space="preserve">Prin graficele și tabelul  prezentat, </w:t>
      </w:r>
      <w:r w:rsidR="00A07F5D" w:rsidRPr="0083045F">
        <w:rPr>
          <w:rFonts w:cs="Times New Roman"/>
        </w:rPr>
        <w:t xml:space="preserve">am încercat să evidențiem o sinteză a principalelor </w:t>
      </w:r>
      <w:r w:rsidRPr="0083045F">
        <w:rPr>
          <w:rFonts w:cs="Times New Roman"/>
        </w:rPr>
        <w:t xml:space="preserve">platforme ce conțin </w:t>
      </w:r>
      <w:r w:rsidR="00A07F5D" w:rsidRPr="0083045F">
        <w:rPr>
          <w:rFonts w:cs="Times New Roman"/>
        </w:rPr>
        <w:t xml:space="preserve">articole științifice ce utilizează </w:t>
      </w:r>
      <w:r w:rsidR="0097127E" w:rsidRPr="0083045F">
        <w:rPr>
          <w:rFonts w:cs="Times New Roman"/>
        </w:rPr>
        <w:t>variabile</w:t>
      </w:r>
      <w:r w:rsidR="00A07F5D" w:rsidRPr="0083045F">
        <w:rPr>
          <w:rFonts w:cs="Times New Roman"/>
        </w:rPr>
        <w:t xml:space="preserve"> de GC, audit și performanță financiară. </w:t>
      </w:r>
      <w:r w:rsidR="001C3422" w:rsidRPr="0083045F">
        <w:rPr>
          <w:rFonts w:cs="Times New Roman"/>
        </w:rPr>
        <w:t>P</w:t>
      </w:r>
      <w:r w:rsidR="00A07F5D" w:rsidRPr="0083045F">
        <w:rPr>
          <w:rFonts w:cs="Times New Roman"/>
        </w:rPr>
        <w:t xml:space="preserve">erioada cuprinsă între anii 2010-2016, conform graficelor de mai sus, este perioada în care subiectul nostru a fost ”arzător” pentru </w:t>
      </w:r>
      <w:r w:rsidR="00924C7D" w:rsidRPr="0083045F">
        <w:rPr>
          <w:rFonts w:cs="Times New Roman"/>
        </w:rPr>
        <w:t>plaja academicienilor</w:t>
      </w:r>
      <w:r w:rsidR="00A07F5D" w:rsidRPr="0083045F">
        <w:rPr>
          <w:rFonts w:cs="Times New Roman"/>
        </w:rPr>
        <w:t>.</w:t>
      </w:r>
      <w:r w:rsidR="001C3422" w:rsidRPr="0083045F">
        <w:rPr>
          <w:rFonts w:cs="Times New Roman"/>
        </w:rPr>
        <w:t xml:space="preserve"> Am observat, de asemenea, faptul ca, interesul cercetatorilor petru topicul ales este in crestere.</w:t>
      </w:r>
    </w:p>
    <w:p w:rsidR="00951128" w:rsidRPr="0083045F" w:rsidRDefault="00503CAB" w:rsidP="0083045F">
      <w:pPr>
        <w:spacing w:line="240" w:lineRule="auto"/>
        <w:rPr>
          <w:rStyle w:val="apple-converted-space"/>
          <w:rFonts w:cs="Times New Roman"/>
        </w:rPr>
      </w:pPr>
      <w:r w:rsidRPr="0083045F">
        <w:rPr>
          <w:rFonts w:cs="Times New Roman"/>
        </w:rPr>
        <w:t xml:space="preserve">În încheiere, putem afirma cu încredere că studiul contribuie la înțelegerea relaţiei guvernanţa corporativă, audit – performanţă financiară prin examinarea și analiza diferentiata a unui numar important de </w:t>
      </w:r>
      <w:r w:rsidR="001C3422" w:rsidRPr="0083045F">
        <w:rPr>
          <w:rFonts w:cs="Times New Roman"/>
        </w:rPr>
        <w:t>studii empirice</w:t>
      </w:r>
      <w:r w:rsidRPr="0083045F">
        <w:rPr>
          <w:rFonts w:cs="Times New Roman"/>
        </w:rPr>
        <w:t xml:space="preserve">. Această cercetare ne motivează ca pe viitor să lansăm noi direcții de analiză a  GC </w:t>
      </w:r>
      <w:r w:rsidR="001C3422" w:rsidRPr="0083045F">
        <w:rPr>
          <w:rFonts w:cs="Times New Roman"/>
        </w:rPr>
        <w:t xml:space="preserve"> si ale auditului </w:t>
      </w:r>
      <w:r w:rsidRPr="0083045F">
        <w:rPr>
          <w:rFonts w:cs="Times New Roman"/>
        </w:rPr>
        <w:t>în raport cu performanța definită de alți indicatori economico-financiari</w:t>
      </w:r>
      <w:r w:rsidR="001C3422" w:rsidRPr="0083045F">
        <w:rPr>
          <w:rFonts w:cs="Times New Roman"/>
        </w:rPr>
        <w:t>.</w:t>
      </w:r>
    </w:p>
    <w:p w:rsidR="0083045F" w:rsidRPr="0083045F" w:rsidRDefault="0083045F" w:rsidP="0083045F">
      <w:pPr>
        <w:spacing w:line="240" w:lineRule="auto"/>
        <w:rPr>
          <w:rFonts w:cs="Times New Roman"/>
          <w:sz w:val="21"/>
          <w:szCs w:val="21"/>
          <w:shd w:val="clear" w:color="auto" w:fill="FFFFFF"/>
        </w:rPr>
      </w:pPr>
    </w:p>
    <w:p w:rsidR="0083045F" w:rsidRPr="0083045F" w:rsidRDefault="0083045F" w:rsidP="0083045F">
      <w:pPr>
        <w:spacing w:line="240" w:lineRule="auto"/>
        <w:rPr>
          <w:rFonts w:cs="Times New Roman"/>
          <w:b/>
          <w:sz w:val="21"/>
          <w:szCs w:val="21"/>
          <w:shd w:val="clear" w:color="auto" w:fill="FFFFFF"/>
        </w:rPr>
      </w:pPr>
      <w:r w:rsidRPr="0083045F">
        <w:rPr>
          <w:rFonts w:cs="Times New Roman"/>
          <w:b/>
          <w:sz w:val="21"/>
          <w:szCs w:val="21"/>
          <w:shd w:val="clear" w:color="auto" w:fill="FFFFFF"/>
        </w:rPr>
        <w:t>BIBLIOGRAFIE</w:t>
      </w:r>
    </w:p>
    <w:p w:rsidR="00A07F5D" w:rsidRPr="0083045F" w:rsidRDefault="00A07F5D" w:rsidP="0083045F">
      <w:pPr>
        <w:spacing w:line="240" w:lineRule="auto"/>
        <w:rPr>
          <w:rFonts w:cs="Times New Roman"/>
          <w:sz w:val="21"/>
          <w:szCs w:val="21"/>
          <w:shd w:val="clear" w:color="auto" w:fill="FFFFFF"/>
        </w:rPr>
      </w:pPr>
    </w:p>
    <w:p w:rsidR="0083045F" w:rsidRDefault="0083045F" w:rsidP="0083045F">
      <w:pPr>
        <w:numPr>
          <w:ilvl w:val="0"/>
          <w:numId w:val="4"/>
        </w:numPr>
        <w:spacing w:line="240" w:lineRule="auto"/>
        <w:rPr>
          <w:rFonts w:eastAsia="Calibri"/>
        </w:rPr>
      </w:pPr>
      <w:r>
        <w:rPr>
          <w:rFonts w:eastAsia="Calibri"/>
        </w:rPr>
        <w:t xml:space="preserve"> </w:t>
      </w:r>
      <w:r w:rsidRPr="00694303">
        <w:rPr>
          <w:rFonts w:eastAsia="Calibri"/>
        </w:rPr>
        <w:t xml:space="preserve">Aldamen H., Ducan  K., Kelly  S., McNamara  R., Nagel  S., (2012),  </w:t>
      </w:r>
      <w:r w:rsidRPr="00694303">
        <w:rPr>
          <w:rFonts w:eastAsia="Calibri"/>
          <w:i/>
        </w:rPr>
        <w:t>Audit committee characteristics and firm performance during the global financial crisis</w:t>
      </w:r>
      <w:r w:rsidRPr="00694303">
        <w:rPr>
          <w:rFonts w:eastAsia="Calibri"/>
        </w:rPr>
        <w:t>, Accounting and Finance, Volume 52, number. 4, pp.971-1000.</w:t>
      </w:r>
    </w:p>
    <w:p w:rsidR="0083045F" w:rsidRDefault="0083045F" w:rsidP="0083045F">
      <w:pPr>
        <w:numPr>
          <w:ilvl w:val="0"/>
          <w:numId w:val="4"/>
        </w:numPr>
        <w:spacing w:line="240" w:lineRule="auto"/>
        <w:rPr>
          <w:rFonts w:eastAsia="Calibri"/>
        </w:rPr>
      </w:pPr>
      <w:r w:rsidRPr="00694303">
        <w:rPr>
          <w:rFonts w:eastAsia="Calibri"/>
        </w:rPr>
        <w:t xml:space="preserve">Baixauli-Soler J.S., Sanchez-Marin G., (2015), </w:t>
      </w:r>
      <w:r w:rsidRPr="00694303">
        <w:rPr>
          <w:rFonts w:eastAsia="Calibri"/>
          <w:i/>
        </w:rPr>
        <w:t>Executive compensation and corporate governance in Spanish  listed firms: a principal–principal perspective</w:t>
      </w:r>
      <w:r w:rsidRPr="00694303">
        <w:rPr>
          <w:rFonts w:eastAsia="Calibri"/>
        </w:rPr>
        <w:t>, Review of Managerial Science, Volume 9, number 1, pp. 115–140.</w:t>
      </w:r>
    </w:p>
    <w:p w:rsidR="0083045F" w:rsidRDefault="0083045F" w:rsidP="0083045F">
      <w:pPr>
        <w:numPr>
          <w:ilvl w:val="0"/>
          <w:numId w:val="4"/>
        </w:numPr>
        <w:spacing w:line="240" w:lineRule="auto"/>
        <w:rPr>
          <w:rFonts w:eastAsia="Calibri"/>
        </w:rPr>
      </w:pPr>
      <w:r w:rsidRPr="00694303">
        <w:rPr>
          <w:rFonts w:eastAsia="Calibri"/>
        </w:rPr>
        <w:t xml:space="preserve">Black B. S., Jang H., Kim W., (2003) </w:t>
      </w:r>
      <w:r w:rsidRPr="00694303">
        <w:rPr>
          <w:rFonts w:eastAsia="Calibri"/>
          <w:i/>
        </w:rPr>
        <w:t>Does corporate governance affect firm value? Evidence from Korea</w:t>
      </w:r>
      <w:r w:rsidRPr="00694303">
        <w:rPr>
          <w:rFonts w:eastAsia="Calibri"/>
        </w:rPr>
        <w:t>. Stanford Law School, Working paper Number 257.</w:t>
      </w:r>
    </w:p>
    <w:p w:rsidR="0083045F" w:rsidRDefault="0083045F" w:rsidP="0083045F">
      <w:pPr>
        <w:numPr>
          <w:ilvl w:val="0"/>
          <w:numId w:val="4"/>
        </w:numPr>
        <w:spacing w:line="240" w:lineRule="auto"/>
        <w:rPr>
          <w:rFonts w:eastAsia="Calibri"/>
        </w:rPr>
      </w:pPr>
      <w:r w:rsidRPr="00694303">
        <w:rPr>
          <w:rFonts w:eastAsia="Calibri"/>
        </w:rPr>
        <w:t xml:space="preserve">Bo H., Li T., Sun Y.M., (2016), </w:t>
      </w:r>
      <w:r w:rsidRPr="00CE2171">
        <w:rPr>
          <w:rFonts w:eastAsia="Calibri"/>
          <w:i/>
        </w:rPr>
        <w:t>Board attributes and herding in corporate investment: evidence from Chinese-listed firms</w:t>
      </w:r>
      <w:r w:rsidRPr="00694303">
        <w:rPr>
          <w:rFonts w:eastAsia="Calibri"/>
        </w:rPr>
        <w:t xml:space="preserve">, European Journal of </w:t>
      </w:r>
      <w:r>
        <w:rPr>
          <w:rFonts w:eastAsia="Calibri"/>
        </w:rPr>
        <w:t>F</w:t>
      </w:r>
      <w:r w:rsidRPr="00694303">
        <w:rPr>
          <w:rFonts w:eastAsia="Calibri"/>
        </w:rPr>
        <w:t>in</w:t>
      </w:r>
      <w:r>
        <w:rPr>
          <w:rFonts w:eastAsia="Calibri"/>
        </w:rPr>
        <w:t>ance, Vol.22(</w:t>
      </w:r>
      <w:r w:rsidRPr="00694303">
        <w:rPr>
          <w:rFonts w:eastAsia="Calibri"/>
        </w:rPr>
        <w:t>4-6</w:t>
      </w:r>
      <w:r>
        <w:rPr>
          <w:rFonts w:eastAsia="Calibri"/>
        </w:rPr>
        <w:t>)</w:t>
      </w:r>
      <w:r w:rsidRPr="00694303">
        <w:rPr>
          <w:rFonts w:eastAsia="Calibri"/>
        </w:rPr>
        <w:t>, pp.432-462.</w:t>
      </w:r>
    </w:p>
    <w:p w:rsidR="0083045F" w:rsidRDefault="0083045F" w:rsidP="0083045F">
      <w:pPr>
        <w:numPr>
          <w:ilvl w:val="0"/>
          <w:numId w:val="4"/>
        </w:numPr>
        <w:spacing w:line="240" w:lineRule="auto"/>
        <w:rPr>
          <w:rFonts w:eastAsia="Calibri"/>
        </w:rPr>
      </w:pPr>
      <w:r w:rsidRPr="00694303">
        <w:rPr>
          <w:rFonts w:eastAsia="Calibri"/>
        </w:rPr>
        <w:t xml:space="preserve">Bunea, M., Țurlea, E., (2016), </w:t>
      </w:r>
      <w:r w:rsidRPr="00694303">
        <w:rPr>
          <w:rFonts w:eastAsia="Calibri"/>
          <w:i/>
        </w:rPr>
        <w:t>The impact of the supervisory board structure on bank performance</w:t>
      </w:r>
      <w:r w:rsidRPr="00694303">
        <w:rPr>
          <w:rFonts w:eastAsia="Calibri"/>
        </w:rPr>
        <w:t>, Audit Financiar, vol. XIV, number. 3(135),  pp. 326-333.</w:t>
      </w:r>
    </w:p>
    <w:p w:rsidR="0083045F" w:rsidRDefault="0083045F" w:rsidP="0083045F">
      <w:pPr>
        <w:numPr>
          <w:ilvl w:val="0"/>
          <w:numId w:val="4"/>
        </w:numPr>
        <w:spacing w:line="240" w:lineRule="auto"/>
        <w:rPr>
          <w:rFonts w:eastAsia="Calibri"/>
        </w:rPr>
      </w:pPr>
      <w:r w:rsidRPr="00694303">
        <w:rPr>
          <w:rFonts w:eastAsia="Calibri"/>
        </w:rPr>
        <w:t xml:space="preserve">Castrillo L., Marcos S., San Martín J. M., (2010), </w:t>
      </w:r>
      <w:r w:rsidRPr="00694303">
        <w:rPr>
          <w:rFonts w:eastAsia="Calibri"/>
          <w:i/>
        </w:rPr>
        <w:t>Corporate governance, legal investor protection, and performance in Spain and the United Kingdom</w:t>
      </w:r>
      <w:r w:rsidRPr="00694303">
        <w:rPr>
          <w:rFonts w:eastAsia="Calibri"/>
        </w:rPr>
        <w:t>, Corporate Ownership &amp; Control , Volume 7, Issue 3, pp. 416-430.</w:t>
      </w:r>
    </w:p>
    <w:p w:rsidR="0083045F" w:rsidRDefault="0083045F" w:rsidP="0083045F">
      <w:pPr>
        <w:numPr>
          <w:ilvl w:val="0"/>
          <w:numId w:val="4"/>
        </w:numPr>
        <w:spacing w:line="240" w:lineRule="auto"/>
        <w:rPr>
          <w:rFonts w:eastAsia="Calibri"/>
        </w:rPr>
      </w:pPr>
      <w:r>
        <w:rPr>
          <w:rFonts w:eastAsia="Calibri"/>
        </w:rPr>
        <w:lastRenderedPageBreak/>
        <w:t xml:space="preserve">Dobre F., </w:t>
      </w:r>
      <w:r w:rsidRPr="00694303">
        <w:rPr>
          <w:rFonts w:eastAsia="Calibri"/>
        </w:rPr>
        <w:t xml:space="preserve">(2016), </w:t>
      </w:r>
      <w:r w:rsidRPr="00694303">
        <w:rPr>
          <w:rFonts w:eastAsia="Calibri"/>
          <w:i/>
        </w:rPr>
        <w:t xml:space="preserve">Interdependențe între guvernanța corporativă și auditul financiar: informații de la Bursa de Valori din România. </w:t>
      </w:r>
      <w:r>
        <w:rPr>
          <w:rFonts w:eastAsia="Calibri"/>
        </w:rPr>
        <w:t>Audit financiar,Vol. XIV,</w:t>
      </w:r>
      <w:r w:rsidRPr="00694303">
        <w:rPr>
          <w:rFonts w:eastAsia="Calibri"/>
        </w:rPr>
        <w:t>2(134), pp.151-161.</w:t>
      </w:r>
    </w:p>
    <w:p w:rsidR="0083045F" w:rsidRDefault="0083045F" w:rsidP="0083045F">
      <w:pPr>
        <w:numPr>
          <w:ilvl w:val="0"/>
          <w:numId w:val="4"/>
        </w:numPr>
        <w:spacing w:line="240" w:lineRule="auto"/>
        <w:rPr>
          <w:rFonts w:eastAsia="Calibri"/>
        </w:rPr>
      </w:pPr>
      <w:r w:rsidRPr="00694303">
        <w:rPr>
          <w:rFonts w:eastAsia="Calibri"/>
        </w:rPr>
        <w:t xml:space="preserve">Drucker P. F., (1954), </w:t>
      </w:r>
      <w:r w:rsidRPr="00694303">
        <w:rPr>
          <w:rFonts w:eastAsia="Calibri"/>
          <w:i/>
        </w:rPr>
        <w:t>The Practice of Management</w:t>
      </w:r>
      <w:r w:rsidRPr="00694303">
        <w:rPr>
          <w:rFonts w:eastAsia="Calibri"/>
        </w:rPr>
        <w:t>, New York: Harper &amp; Row, Reissue edition October 3, pp. 137-144</w:t>
      </w:r>
      <w:r>
        <w:rPr>
          <w:rFonts w:eastAsia="Calibri"/>
        </w:rPr>
        <w:t>.</w:t>
      </w:r>
    </w:p>
    <w:p w:rsidR="0083045F" w:rsidRDefault="0083045F" w:rsidP="0083045F">
      <w:pPr>
        <w:numPr>
          <w:ilvl w:val="0"/>
          <w:numId w:val="4"/>
        </w:numPr>
        <w:spacing w:line="240" w:lineRule="auto"/>
        <w:rPr>
          <w:rFonts w:eastAsia="Calibri"/>
        </w:rPr>
      </w:pPr>
      <w:r w:rsidRPr="00694303">
        <w:rPr>
          <w:rFonts w:eastAsia="Calibri"/>
        </w:rPr>
        <w:t xml:space="preserve">Esra A., Allam H., (2015), </w:t>
      </w:r>
      <w:r w:rsidRPr="00694303">
        <w:rPr>
          <w:rFonts w:eastAsia="Calibri"/>
          <w:i/>
        </w:rPr>
        <w:t xml:space="preserve">The  impact of corporate governance on firm performance: evidence from bahrain bours, </w:t>
      </w:r>
      <w:r w:rsidRPr="00694303">
        <w:rPr>
          <w:rFonts w:eastAsia="Calibri"/>
        </w:rPr>
        <w:t>International Management Review, Volume 11, number 2</w:t>
      </w:r>
      <w:r>
        <w:rPr>
          <w:rFonts w:eastAsia="Calibri"/>
        </w:rPr>
        <w:t xml:space="preserve">. </w:t>
      </w:r>
    </w:p>
    <w:p w:rsidR="0083045F" w:rsidRDefault="0083045F" w:rsidP="0083045F">
      <w:pPr>
        <w:numPr>
          <w:ilvl w:val="0"/>
          <w:numId w:val="4"/>
        </w:numPr>
        <w:tabs>
          <w:tab w:val="left" w:pos="720"/>
          <w:tab w:val="left" w:pos="810"/>
          <w:tab w:val="left" w:pos="1170"/>
          <w:tab w:val="left" w:pos="1260"/>
        </w:tabs>
        <w:spacing w:line="240" w:lineRule="auto"/>
        <w:rPr>
          <w:rFonts w:eastAsia="Calibri"/>
        </w:rPr>
      </w:pPr>
      <w:r w:rsidRPr="00CE2171">
        <w:rPr>
          <w:rFonts w:eastAsia="Calibri"/>
        </w:rPr>
        <w:t xml:space="preserve">Feleagă N., Feleagă L., Dragomir V. D., Bigioi A. D., (2011), </w:t>
      </w:r>
      <w:r w:rsidRPr="00CE2171">
        <w:rPr>
          <w:rFonts w:eastAsia="Calibri"/>
          <w:i/>
        </w:rPr>
        <w:t>Guvernanţa corporativă în economiile emergente: cazul României</w:t>
      </w:r>
      <w:r w:rsidRPr="00CE2171">
        <w:rPr>
          <w:rFonts w:eastAsia="Calibri"/>
        </w:rPr>
        <w:t>, Economie teoretică şi aplicată, Volumul XVIII, număr 9(562), pp. 3-15.</w:t>
      </w:r>
    </w:p>
    <w:p w:rsidR="0083045F" w:rsidRDefault="0083045F" w:rsidP="0083045F">
      <w:pPr>
        <w:numPr>
          <w:ilvl w:val="0"/>
          <w:numId w:val="4"/>
        </w:numPr>
        <w:tabs>
          <w:tab w:val="left" w:pos="720"/>
          <w:tab w:val="left" w:pos="810"/>
          <w:tab w:val="left" w:pos="1170"/>
          <w:tab w:val="left" w:pos="1260"/>
        </w:tabs>
        <w:spacing w:line="240" w:lineRule="auto"/>
        <w:rPr>
          <w:rFonts w:eastAsia="Calibri"/>
        </w:rPr>
      </w:pPr>
      <w:r w:rsidRPr="00CE2171">
        <w:rPr>
          <w:rFonts w:eastAsia="Calibri"/>
        </w:rPr>
        <w:t xml:space="preserve">Foo Y. B.,  Zain M. M., (2010),  </w:t>
      </w:r>
      <w:r w:rsidRPr="00CE2171">
        <w:rPr>
          <w:rFonts w:eastAsia="Calibri"/>
          <w:i/>
        </w:rPr>
        <w:t>Board independence, board diligence and liquidity in Malaysia</w:t>
      </w:r>
      <w:r w:rsidRPr="00CE2171">
        <w:rPr>
          <w:rFonts w:eastAsia="Calibri"/>
        </w:rPr>
        <w:t>. Journal of Contemporary</w:t>
      </w:r>
      <w:r>
        <w:rPr>
          <w:rFonts w:eastAsia="Calibri"/>
        </w:rPr>
        <w:t xml:space="preserve"> Accounting and Economics, Vol.</w:t>
      </w:r>
      <w:r w:rsidRPr="00CE2171">
        <w:rPr>
          <w:rFonts w:eastAsia="Calibri"/>
        </w:rPr>
        <w:t xml:space="preserve"> 6, n</w:t>
      </w:r>
      <w:r>
        <w:rPr>
          <w:rFonts w:eastAsia="Calibri"/>
        </w:rPr>
        <w:t>o.</w:t>
      </w:r>
      <w:r w:rsidRPr="00CE2171">
        <w:rPr>
          <w:rFonts w:eastAsia="Calibri"/>
        </w:rPr>
        <w:t xml:space="preserve"> 2, pp. 92–100.</w:t>
      </w:r>
    </w:p>
    <w:p w:rsidR="0083045F" w:rsidRDefault="0083045F" w:rsidP="0083045F">
      <w:pPr>
        <w:numPr>
          <w:ilvl w:val="0"/>
          <w:numId w:val="4"/>
        </w:numPr>
        <w:tabs>
          <w:tab w:val="left" w:pos="720"/>
          <w:tab w:val="left" w:pos="810"/>
          <w:tab w:val="left" w:pos="1170"/>
          <w:tab w:val="left" w:pos="1260"/>
        </w:tabs>
        <w:spacing w:line="240" w:lineRule="auto"/>
        <w:rPr>
          <w:rFonts w:eastAsia="Calibri"/>
        </w:rPr>
      </w:pPr>
      <w:r w:rsidRPr="00CE2171">
        <w:rPr>
          <w:rFonts w:eastAsia="Calibri"/>
        </w:rPr>
        <w:t xml:space="preserve">Fuentes C., Sierra-Grau E., (2015), </w:t>
      </w:r>
      <w:r w:rsidRPr="00CE2171">
        <w:rPr>
          <w:rFonts w:eastAsia="Calibri"/>
          <w:i/>
        </w:rPr>
        <w:t>IFRS adoption and audit and non-audit fees: empirical evidence from Spanish listed companies</w:t>
      </w:r>
      <w:r w:rsidRPr="00CE2171">
        <w:rPr>
          <w:rFonts w:eastAsia="Calibri"/>
        </w:rPr>
        <w:t>, Spanish Journal of Finance and Accounting, Volume 44, Number 4, pp. 387–426.</w:t>
      </w:r>
    </w:p>
    <w:p w:rsidR="0083045F" w:rsidRDefault="0083045F" w:rsidP="0083045F">
      <w:pPr>
        <w:numPr>
          <w:ilvl w:val="0"/>
          <w:numId w:val="4"/>
        </w:numPr>
        <w:tabs>
          <w:tab w:val="left" w:pos="720"/>
          <w:tab w:val="left" w:pos="810"/>
          <w:tab w:val="left" w:pos="1170"/>
          <w:tab w:val="left" w:pos="1260"/>
        </w:tabs>
        <w:spacing w:line="240" w:lineRule="auto"/>
        <w:rPr>
          <w:rFonts w:eastAsia="Calibri"/>
        </w:rPr>
      </w:pPr>
      <w:r w:rsidRPr="00CE2171">
        <w:rPr>
          <w:rFonts w:eastAsia="Calibri"/>
        </w:rPr>
        <w:t>Fülöp M. T., Cordoş G. S</w:t>
      </w:r>
      <w:r w:rsidRPr="00CE2171">
        <w:rPr>
          <w:rFonts w:eastAsia="Calibri"/>
          <w:i/>
        </w:rPr>
        <w:t>.,</w:t>
      </w:r>
      <w:r w:rsidRPr="00CE2171">
        <w:rPr>
          <w:rFonts w:eastAsia="Calibri"/>
        </w:rPr>
        <w:t xml:space="preserve"> (2013),</w:t>
      </w:r>
      <w:r w:rsidRPr="00CE2171">
        <w:rPr>
          <w:rFonts w:eastAsia="Calibri"/>
          <w:i/>
        </w:rPr>
        <w:t xml:space="preserve"> Auditor-Client Tenure Analysis and Its Effect on Auditor Independence, </w:t>
      </w:r>
      <w:r w:rsidRPr="00CE2171">
        <w:rPr>
          <w:rFonts w:eastAsia="Calibri"/>
        </w:rPr>
        <w:t>Audit Financiar, Volum XI, nr. 105 (9), pp. 3-11.</w:t>
      </w:r>
    </w:p>
    <w:p w:rsidR="0083045F" w:rsidRDefault="0083045F" w:rsidP="0083045F">
      <w:pPr>
        <w:numPr>
          <w:ilvl w:val="0"/>
          <w:numId w:val="4"/>
        </w:numPr>
        <w:tabs>
          <w:tab w:val="left" w:pos="720"/>
          <w:tab w:val="left" w:pos="810"/>
          <w:tab w:val="left" w:pos="1170"/>
          <w:tab w:val="left" w:pos="1260"/>
        </w:tabs>
        <w:spacing w:line="240" w:lineRule="auto"/>
        <w:rPr>
          <w:rFonts w:eastAsia="Calibri"/>
        </w:rPr>
      </w:pPr>
      <w:r w:rsidRPr="00CE2171">
        <w:rPr>
          <w:rFonts w:eastAsia="Calibri"/>
        </w:rPr>
        <w:t xml:space="preserve">Gîrbină  M.M., Albu  N., Albu  C.N., (2012), </w:t>
      </w:r>
      <w:r w:rsidRPr="00CE2171">
        <w:rPr>
          <w:rFonts w:eastAsia="Calibri"/>
          <w:i/>
        </w:rPr>
        <w:t>Corporate governance disclosures in Romania, in Nguyen</w:t>
      </w:r>
      <w:r w:rsidRPr="00CE2171">
        <w:rPr>
          <w:rFonts w:eastAsia="Calibri"/>
        </w:rPr>
        <w:t xml:space="preserve">, D.K and Boubaker, S. (Eds.) </w:t>
      </w:r>
      <w:r w:rsidRPr="00CE2171">
        <w:rPr>
          <w:rFonts w:eastAsia="Calibri"/>
          <w:i/>
        </w:rPr>
        <w:t>Board Directors and Corporate Social Responsibility</w:t>
      </w:r>
      <w:r w:rsidRPr="00CE2171">
        <w:rPr>
          <w:rFonts w:eastAsia="Calibri"/>
        </w:rPr>
        <w:t>, Palgrave Macmillan, pp. 122-144 (of which 7 of the candidate), p. 274.</w:t>
      </w:r>
    </w:p>
    <w:p w:rsidR="0083045F" w:rsidRDefault="0083045F" w:rsidP="0083045F">
      <w:pPr>
        <w:numPr>
          <w:ilvl w:val="0"/>
          <w:numId w:val="4"/>
        </w:numPr>
        <w:tabs>
          <w:tab w:val="left" w:pos="720"/>
          <w:tab w:val="left" w:pos="810"/>
          <w:tab w:val="left" w:pos="1170"/>
          <w:tab w:val="left" w:pos="1260"/>
        </w:tabs>
        <w:spacing w:line="240" w:lineRule="auto"/>
        <w:rPr>
          <w:rFonts w:eastAsia="Calibri"/>
        </w:rPr>
      </w:pPr>
      <w:r w:rsidRPr="00CE2171">
        <w:rPr>
          <w:rFonts w:eastAsia="Calibri"/>
        </w:rPr>
        <w:t xml:space="preserve">Gill A., Biger  N., (2013), </w:t>
      </w:r>
      <w:r w:rsidRPr="00CE2171">
        <w:rPr>
          <w:rFonts w:eastAsia="Calibri"/>
          <w:i/>
        </w:rPr>
        <w:t xml:space="preserve">The impact of corporate governance on working capital management efficiency of American manufacturing firms. </w:t>
      </w:r>
      <w:r w:rsidRPr="00CE2171">
        <w:rPr>
          <w:rFonts w:eastAsia="Calibri"/>
        </w:rPr>
        <w:t>Managerial Finance, Volume 39, number 2, pp. 116–132.</w:t>
      </w:r>
    </w:p>
    <w:p w:rsidR="0083045F" w:rsidRDefault="0083045F" w:rsidP="0083045F">
      <w:pPr>
        <w:numPr>
          <w:ilvl w:val="0"/>
          <w:numId w:val="4"/>
        </w:numPr>
        <w:tabs>
          <w:tab w:val="left" w:pos="720"/>
          <w:tab w:val="left" w:pos="810"/>
          <w:tab w:val="left" w:pos="1170"/>
          <w:tab w:val="left" w:pos="1260"/>
        </w:tabs>
        <w:spacing w:line="240" w:lineRule="auto"/>
        <w:rPr>
          <w:rFonts w:eastAsia="Calibri"/>
        </w:rPr>
      </w:pPr>
      <w:r w:rsidRPr="00CE2171">
        <w:rPr>
          <w:rFonts w:eastAsia="Calibri"/>
        </w:rPr>
        <w:t xml:space="preserve">Grosu M., Robu I. B., Istrate C., (2015), </w:t>
      </w:r>
      <w:r w:rsidRPr="00CE2171">
        <w:rPr>
          <w:rFonts w:eastAsia="Calibri"/>
          <w:i/>
        </w:rPr>
        <w:t>Studiu explorator privind impactul IFRS asupra opiniei de audit în cazul firmelor românești cotate</w:t>
      </w:r>
      <w:r w:rsidRPr="00CE2171">
        <w:rPr>
          <w:rFonts w:eastAsia="Calibri"/>
        </w:rPr>
        <w:t>, Audit Financiar, Volum XIII, nr. 7 (127), pp. 3-15.</w:t>
      </w:r>
    </w:p>
    <w:p w:rsidR="0083045F" w:rsidRDefault="0083045F" w:rsidP="0083045F">
      <w:pPr>
        <w:numPr>
          <w:ilvl w:val="0"/>
          <w:numId w:val="4"/>
        </w:numPr>
        <w:tabs>
          <w:tab w:val="left" w:pos="720"/>
          <w:tab w:val="left" w:pos="810"/>
          <w:tab w:val="left" w:pos="1170"/>
          <w:tab w:val="left" w:pos="1260"/>
        </w:tabs>
        <w:spacing w:line="240" w:lineRule="auto"/>
        <w:rPr>
          <w:rFonts w:eastAsia="Calibri"/>
        </w:rPr>
      </w:pPr>
      <w:r w:rsidRPr="00CE2171">
        <w:rPr>
          <w:rFonts w:eastAsia="Calibri"/>
        </w:rPr>
        <w:t xml:space="preserve">Guiral A., Rodgers W., Ruiz E., Gonzalo J.A., (2010), </w:t>
      </w:r>
      <w:r w:rsidRPr="00CE2171">
        <w:rPr>
          <w:rFonts w:eastAsia="Calibri"/>
          <w:i/>
        </w:rPr>
        <w:t xml:space="preserve">Ethical dilemmas in auditing: dishonesty or unintentional bias, </w:t>
      </w:r>
      <w:r w:rsidRPr="00CE2171">
        <w:rPr>
          <w:rFonts w:eastAsia="Calibri"/>
        </w:rPr>
        <w:t>Journal of Business Ethics, Volume 91, pp 151–166</w:t>
      </w:r>
      <w:r w:rsidRPr="00CE2171">
        <w:rPr>
          <w:rFonts w:eastAsia="Calibri"/>
          <w:i/>
        </w:rPr>
        <w:t>.</w:t>
      </w:r>
    </w:p>
    <w:p w:rsidR="0083045F" w:rsidRDefault="0083045F" w:rsidP="0083045F">
      <w:pPr>
        <w:numPr>
          <w:ilvl w:val="0"/>
          <w:numId w:val="4"/>
        </w:numPr>
        <w:tabs>
          <w:tab w:val="left" w:pos="720"/>
          <w:tab w:val="left" w:pos="810"/>
          <w:tab w:val="left" w:pos="1170"/>
          <w:tab w:val="left" w:pos="1260"/>
        </w:tabs>
        <w:spacing w:line="240" w:lineRule="auto"/>
        <w:rPr>
          <w:rFonts w:eastAsia="Calibri"/>
        </w:rPr>
      </w:pPr>
      <w:r w:rsidRPr="00CE2171">
        <w:rPr>
          <w:rFonts w:eastAsia="Calibri"/>
        </w:rPr>
        <w:t>Hahn P.D., Lasfer M</w:t>
      </w:r>
      <w:r w:rsidRPr="00CE2171">
        <w:rPr>
          <w:rFonts w:eastAsia="Calibri"/>
          <w:i/>
        </w:rPr>
        <w:t>.,</w:t>
      </w:r>
      <w:r w:rsidRPr="00CE2171">
        <w:rPr>
          <w:rFonts w:eastAsia="Calibri"/>
        </w:rPr>
        <w:t xml:space="preserve"> (2016),</w:t>
      </w:r>
      <w:r w:rsidRPr="00CE2171">
        <w:rPr>
          <w:rFonts w:eastAsia="Calibri"/>
          <w:i/>
        </w:rPr>
        <w:t xml:space="preserve"> Impact of foreign directors on board meeting frequency</w:t>
      </w:r>
      <w:r w:rsidRPr="00CE2171">
        <w:rPr>
          <w:rFonts w:eastAsia="Calibri"/>
        </w:rPr>
        <w:t>, International review of financial analysis, Volume 46, pp. 295-308.</w:t>
      </w:r>
    </w:p>
    <w:p w:rsidR="0083045F" w:rsidRDefault="0083045F" w:rsidP="0083045F">
      <w:pPr>
        <w:numPr>
          <w:ilvl w:val="0"/>
          <w:numId w:val="4"/>
        </w:numPr>
        <w:tabs>
          <w:tab w:val="left" w:pos="720"/>
          <w:tab w:val="left" w:pos="810"/>
          <w:tab w:val="left" w:pos="1170"/>
          <w:tab w:val="left" w:pos="1260"/>
        </w:tabs>
        <w:spacing w:line="240" w:lineRule="auto"/>
        <w:rPr>
          <w:rFonts w:eastAsia="Calibri"/>
        </w:rPr>
      </w:pPr>
      <w:r w:rsidRPr="00CE2171">
        <w:rPr>
          <w:rFonts w:eastAsia="Calibri"/>
        </w:rPr>
        <w:t xml:space="preserve">Heslin P., Donaldson L., (1999), </w:t>
      </w:r>
      <w:r w:rsidRPr="00CE2171">
        <w:rPr>
          <w:rFonts w:eastAsia="Calibri"/>
          <w:i/>
        </w:rPr>
        <w:t xml:space="preserve">An organizational portfolio theory of board composition. </w:t>
      </w:r>
      <w:r w:rsidRPr="00CE2171">
        <w:rPr>
          <w:rFonts w:eastAsia="Calibri"/>
        </w:rPr>
        <w:t>Corporate Governance: An International Review, Vol. 7, pp. 81–88.</w:t>
      </w:r>
    </w:p>
    <w:p w:rsidR="0083045F" w:rsidRDefault="0083045F" w:rsidP="0083045F">
      <w:pPr>
        <w:numPr>
          <w:ilvl w:val="0"/>
          <w:numId w:val="4"/>
        </w:numPr>
        <w:tabs>
          <w:tab w:val="left" w:pos="720"/>
          <w:tab w:val="left" w:pos="810"/>
          <w:tab w:val="left" w:pos="1170"/>
          <w:tab w:val="left" w:pos="1260"/>
        </w:tabs>
        <w:spacing w:line="240" w:lineRule="auto"/>
        <w:rPr>
          <w:rFonts w:eastAsia="Calibri"/>
        </w:rPr>
      </w:pPr>
      <w:r w:rsidRPr="00CE2171">
        <w:rPr>
          <w:rFonts w:eastAsia="Calibri"/>
        </w:rPr>
        <w:t xml:space="preserve">Iacob A. I., Müller V.O., (2014), </w:t>
      </w:r>
      <w:r w:rsidRPr="00CE2171">
        <w:rPr>
          <w:rFonts w:eastAsia="Calibri"/>
          <w:i/>
        </w:rPr>
        <w:t>The impact of board composition on the financial performance of FTSE100 Constituents</w:t>
      </w:r>
      <w:r w:rsidRPr="00CE2171">
        <w:rPr>
          <w:rFonts w:eastAsia="Calibri"/>
        </w:rPr>
        <w:t xml:space="preserve"> , Second World Conference on Business, Economics and Management, Procedia - Social and Behavioral Sciences, Volume 109, pp. 969-975.</w:t>
      </w:r>
    </w:p>
    <w:p w:rsidR="0083045F" w:rsidRDefault="0083045F" w:rsidP="0083045F">
      <w:pPr>
        <w:numPr>
          <w:ilvl w:val="0"/>
          <w:numId w:val="4"/>
        </w:numPr>
        <w:tabs>
          <w:tab w:val="left" w:pos="720"/>
          <w:tab w:val="left" w:pos="810"/>
          <w:tab w:val="left" w:pos="1170"/>
          <w:tab w:val="left" w:pos="1260"/>
        </w:tabs>
        <w:spacing w:line="240" w:lineRule="auto"/>
        <w:rPr>
          <w:rFonts w:eastAsia="Calibri"/>
        </w:rPr>
      </w:pPr>
      <w:r w:rsidRPr="00CE2171">
        <w:rPr>
          <w:rFonts w:eastAsia="Calibri"/>
        </w:rPr>
        <w:t xml:space="preserve">Cited by James D., (1933), </w:t>
      </w:r>
      <w:r w:rsidRPr="00CE2171">
        <w:rPr>
          <w:rFonts w:eastAsia="Calibri"/>
          <w:i/>
        </w:rPr>
        <w:t>The  Modern Corporation and Private Property, by Adolf A. Berle Jr. and Gardiner C. Means</w:t>
      </w:r>
      <w:r w:rsidRPr="00CE2171">
        <w:rPr>
          <w:rFonts w:eastAsia="Calibri"/>
        </w:rPr>
        <w:t>, Indiana Law Journal: Vol. 8,  Issue 8, Article 11.</w:t>
      </w:r>
    </w:p>
    <w:p w:rsidR="0083045F" w:rsidRDefault="0083045F" w:rsidP="0083045F">
      <w:pPr>
        <w:numPr>
          <w:ilvl w:val="0"/>
          <w:numId w:val="4"/>
        </w:numPr>
        <w:tabs>
          <w:tab w:val="left" w:pos="720"/>
          <w:tab w:val="left" w:pos="810"/>
          <w:tab w:val="left" w:pos="1170"/>
          <w:tab w:val="left" w:pos="1260"/>
        </w:tabs>
        <w:spacing w:line="240" w:lineRule="auto"/>
        <w:rPr>
          <w:rFonts w:eastAsia="Calibri"/>
        </w:rPr>
      </w:pPr>
      <w:r w:rsidRPr="00CE2171">
        <w:rPr>
          <w:rFonts w:eastAsia="Calibri"/>
        </w:rPr>
        <w:t xml:space="preserve">Krafft J., Qu J., Quatraro F., Ravix J-L., (2014), </w:t>
      </w:r>
      <w:r w:rsidRPr="00CE2171">
        <w:rPr>
          <w:rFonts w:eastAsia="Calibri"/>
          <w:i/>
        </w:rPr>
        <w:t>Corporate governance, value and performance of firms: new empirical results on convergence from a large international database</w:t>
      </w:r>
      <w:r w:rsidRPr="00CE2171">
        <w:rPr>
          <w:rFonts w:eastAsia="Calibri"/>
        </w:rPr>
        <w:t xml:space="preserve">, </w:t>
      </w:r>
      <w:r w:rsidRPr="00CE2171">
        <w:rPr>
          <w:rFonts w:eastAsia="Calibri"/>
          <w:i/>
          <w:iCs/>
        </w:rPr>
        <w:t>Industrial and Corporate Change</w:t>
      </w:r>
      <w:r w:rsidRPr="00CE2171">
        <w:rPr>
          <w:rFonts w:eastAsia="Calibri"/>
        </w:rPr>
        <w:t xml:space="preserve"> Journal, Volume 23, number 2, p. 361.</w:t>
      </w:r>
    </w:p>
    <w:p w:rsidR="0083045F" w:rsidRDefault="0083045F" w:rsidP="0083045F">
      <w:pPr>
        <w:numPr>
          <w:ilvl w:val="0"/>
          <w:numId w:val="4"/>
        </w:numPr>
        <w:tabs>
          <w:tab w:val="left" w:pos="720"/>
          <w:tab w:val="left" w:pos="810"/>
          <w:tab w:val="left" w:pos="1170"/>
          <w:tab w:val="left" w:pos="1260"/>
        </w:tabs>
        <w:spacing w:line="240" w:lineRule="auto"/>
        <w:rPr>
          <w:rFonts w:eastAsia="Calibri"/>
        </w:rPr>
      </w:pPr>
      <w:r>
        <w:rPr>
          <w:rFonts w:eastAsia="Calibri"/>
        </w:rPr>
        <w:t>L</w:t>
      </w:r>
      <w:r w:rsidRPr="00CE2171">
        <w:rPr>
          <w:rFonts w:eastAsia="Calibri"/>
        </w:rPr>
        <w:t>andier A., Sauvagnat J., Sraer D., Thesmar D</w:t>
      </w:r>
      <w:r w:rsidRPr="00CE2171">
        <w:rPr>
          <w:rFonts w:eastAsia="Calibri"/>
          <w:i/>
        </w:rPr>
        <w:t>.,</w:t>
      </w:r>
      <w:r w:rsidRPr="00CE2171">
        <w:rPr>
          <w:rFonts w:eastAsia="Calibri"/>
        </w:rPr>
        <w:t xml:space="preserve"> (2013),</w:t>
      </w:r>
      <w:r w:rsidRPr="00CE2171">
        <w:rPr>
          <w:rFonts w:eastAsia="Calibri"/>
          <w:i/>
        </w:rPr>
        <w:t xml:space="preserve"> Bottom-Up Corporate Governance</w:t>
      </w:r>
      <w:r>
        <w:rPr>
          <w:rFonts w:eastAsia="Calibri"/>
        </w:rPr>
        <w:t>, Oxford Univ.</w:t>
      </w:r>
      <w:r w:rsidRPr="00CE2171">
        <w:rPr>
          <w:rFonts w:eastAsia="Calibri"/>
        </w:rPr>
        <w:t xml:space="preserve"> Press,  Review of Finance Journal, </w:t>
      </w:r>
      <w:r>
        <w:rPr>
          <w:rFonts w:eastAsia="Calibri"/>
        </w:rPr>
        <w:t>Vol.</w:t>
      </w:r>
      <w:r w:rsidRPr="00CE2171">
        <w:rPr>
          <w:rFonts w:eastAsia="Calibri"/>
        </w:rPr>
        <w:t xml:space="preserve"> 17, n</w:t>
      </w:r>
      <w:r>
        <w:rPr>
          <w:rFonts w:eastAsia="Calibri"/>
        </w:rPr>
        <w:t>o.</w:t>
      </w:r>
      <w:r w:rsidRPr="00CE2171">
        <w:rPr>
          <w:rFonts w:eastAsia="Calibri"/>
        </w:rPr>
        <w:t xml:space="preserve"> 1, pp. 161-201.</w:t>
      </w:r>
    </w:p>
    <w:p w:rsidR="0083045F" w:rsidRDefault="0083045F" w:rsidP="0083045F">
      <w:pPr>
        <w:numPr>
          <w:ilvl w:val="0"/>
          <w:numId w:val="4"/>
        </w:numPr>
        <w:tabs>
          <w:tab w:val="left" w:pos="720"/>
          <w:tab w:val="left" w:pos="810"/>
          <w:tab w:val="left" w:pos="1170"/>
          <w:tab w:val="left" w:pos="1260"/>
        </w:tabs>
        <w:spacing w:line="240" w:lineRule="auto"/>
        <w:rPr>
          <w:rFonts w:eastAsia="Calibri"/>
        </w:rPr>
      </w:pPr>
      <w:r w:rsidRPr="00CE2171">
        <w:rPr>
          <w:rFonts w:eastAsia="Calibri"/>
        </w:rPr>
        <w:lastRenderedPageBreak/>
        <w:t xml:space="preserve">Malik M. S., Makhdoom D.D., (2016), </w:t>
      </w:r>
      <w:r w:rsidRPr="00CE2171">
        <w:rPr>
          <w:rFonts w:eastAsia="Calibri"/>
          <w:i/>
        </w:rPr>
        <w:t>Does corporate governance beget firm performance in Fortune Global 500 companies?</w:t>
      </w:r>
      <w:r>
        <w:rPr>
          <w:rFonts w:eastAsia="Calibri"/>
        </w:rPr>
        <w:t>, Corporate Governance, Vol.</w:t>
      </w:r>
      <w:r w:rsidRPr="00CE2171">
        <w:rPr>
          <w:rFonts w:eastAsia="Calibri"/>
        </w:rPr>
        <w:t xml:space="preserve"> 16</w:t>
      </w:r>
      <w:r>
        <w:rPr>
          <w:rFonts w:eastAsia="Calibri"/>
        </w:rPr>
        <w:t>,no.</w:t>
      </w:r>
      <w:r w:rsidRPr="00CE2171">
        <w:rPr>
          <w:rFonts w:eastAsia="Calibri"/>
        </w:rPr>
        <w:t xml:space="preserve"> 4, pp.747 – 764.</w:t>
      </w:r>
    </w:p>
    <w:p w:rsidR="0083045F" w:rsidRDefault="0083045F" w:rsidP="0083045F">
      <w:pPr>
        <w:numPr>
          <w:ilvl w:val="0"/>
          <w:numId w:val="4"/>
        </w:numPr>
        <w:tabs>
          <w:tab w:val="left" w:pos="720"/>
          <w:tab w:val="left" w:pos="810"/>
          <w:tab w:val="left" w:pos="1170"/>
          <w:tab w:val="left" w:pos="1260"/>
        </w:tabs>
        <w:spacing w:line="240" w:lineRule="auto"/>
        <w:rPr>
          <w:rFonts w:eastAsia="Calibri"/>
        </w:rPr>
      </w:pPr>
      <w:r w:rsidRPr="00CE2171">
        <w:rPr>
          <w:rFonts w:eastAsia="Calibri"/>
        </w:rPr>
        <w:t xml:space="preserve">Manzaneque M., Merino E., Priego M., (2016), </w:t>
      </w:r>
      <w:r w:rsidRPr="00CE2171">
        <w:rPr>
          <w:rFonts w:eastAsia="Calibri"/>
          <w:i/>
        </w:rPr>
        <w:t>The role of institutional shareholders as owners and directors and the financial distress likelihood. Evidence from a concentrated ownership context</w:t>
      </w:r>
      <w:r w:rsidRPr="00CE2171">
        <w:rPr>
          <w:rFonts w:eastAsia="Calibri"/>
        </w:rPr>
        <w:t>, European Management Journal, Volume 34, Issue 4, pp. 439-451.</w:t>
      </w:r>
    </w:p>
    <w:p w:rsidR="0083045F" w:rsidRDefault="0083045F" w:rsidP="0083045F">
      <w:pPr>
        <w:numPr>
          <w:ilvl w:val="0"/>
          <w:numId w:val="4"/>
        </w:numPr>
        <w:tabs>
          <w:tab w:val="left" w:pos="720"/>
          <w:tab w:val="left" w:pos="810"/>
          <w:tab w:val="left" w:pos="1170"/>
          <w:tab w:val="left" w:pos="1260"/>
        </w:tabs>
        <w:spacing w:line="240" w:lineRule="auto"/>
        <w:rPr>
          <w:rFonts w:eastAsia="Calibri"/>
        </w:rPr>
      </w:pPr>
      <w:r w:rsidRPr="00CE2171">
        <w:rPr>
          <w:rFonts w:eastAsia="Calibri"/>
        </w:rPr>
        <w:t xml:space="preserve">Mashayekhi B., Bazaz M. S., (2008), </w:t>
      </w:r>
      <w:r w:rsidRPr="00CE2171">
        <w:rPr>
          <w:rFonts w:eastAsia="Calibri"/>
          <w:i/>
        </w:rPr>
        <w:t>Corporate governance and firm performance in Iran</w:t>
      </w:r>
      <w:r w:rsidRPr="00CE2171">
        <w:rPr>
          <w:rFonts w:eastAsia="Calibri"/>
        </w:rPr>
        <w:t>. Journal of Contemporary Accounting &amp; Finance, Volume 4, number 2, pp. 151-172.</w:t>
      </w:r>
    </w:p>
    <w:p w:rsidR="0083045F" w:rsidRDefault="0083045F" w:rsidP="0083045F">
      <w:pPr>
        <w:numPr>
          <w:ilvl w:val="0"/>
          <w:numId w:val="4"/>
        </w:numPr>
        <w:tabs>
          <w:tab w:val="left" w:pos="720"/>
          <w:tab w:val="left" w:pos="810"/>
          <w:tab w:val="left" w:pos="1170"/>
          <w:tab w:val="left" w:pos="1260"/>
        </w:tabs>
        <w:spacing w:line="240" w:lineRule="auto"/>
        <w:rPr>
          <w:rFonts w:eastAsia="Calibri"/>
        </w:rPr>
      </w:pPr>
      <w:r w:rsidRPr="00CE2171">
        <w:rPr>
          <w:rFonts w:eastAsia="Calibri"/>
        </w:rPr>
        <w:t xml:space="preserve">Mcconomy B. J., Bujaki M. L., (2000), </w:t>
      </w:r>
      <w:r w:rsidRPr="00CE2171">
        <w:rPr>
          <w:rFonts w:eastAsia="Calibri"/>
          <w:i/>
        </w:rPr>
        <w:t>Corporate governance: enhancing shareholder value</w:t>
      </w:r>
      <w:r w:rsidRPr="00CE2171">
        <w:rPr>
          <w:rFonts w:eastAsia="Calibri"/>
        </w:rPr>
        <w:t>, CMA Management, Volume 74, number 8, pp. 10-13.</w:t>
      </w:r>
    </w:p>
    <w:p w:rsidR="0083045F" w:rsidRDefault="0083045F" w:rsidP="0083045F">
      <w:pPr>
        <w:numPr>
          <w:ilvl w:val="0"/>
          <w:numId w:val="4"/>
        </w:numPr>
        <w:tabs>
          <w:tab w:val="left" w:pos="720"/>
          <w:tab w:val="left" w:pos="810"/>
          <w:tab w:val="left" w:pos="1170"/>
          <w:tab w:val="left" w:pos="1260"/>
        </w:tabs>
        <w:spacing w:line="240" w:lineRule="auto"/>
        <w:rPr>
          <w:rFonts w:eastAsia="Calibri"/>
        </w:rPr>
      </w:pPr>
      <w:r w:rsidRPr="00CE2171">
        <w:rPr>
          <w:rFonts w:eastAsia="Calibri"/>
        </w:rPr>
        <w:t xml:space="preserve">Noe T. H., Rebello M. J., (2011), </w:t>
      </w:r>
      <w:r w:rsidRPr="00CE2171">
        <w:rPr>
          <w:rFonts w:eastAsia="Calibri"/>
          <w:i/>
        </w:rPr>
        <w:t>Optimal corporate governance and  compensation in a dynamic world</w:t>
      </w:r>
      <w:r w:rsidRPr="00CE2171">
        <w:rPr>
          <w:rFonts w:eastAsia="Calibri"/>
        </w:rPr>
        <w:t xml:space="preserve">, Oxford University Press, The Review of Corporate Finance Studies, Volume 24, number 12, pp.3321- 3340. </w:t>
      </w:r>
    </w:p>
    <w:p w:rsidR="0083045F" w:rsidRDefault="0083045F" w:rsidP="0083045F">
      <w:pPr>
        <w:numPr>
          <w:ilvl w:val="0"/>
          <w:numId w:val="4"/>
        </w:numPr>
        <w:tabs>
          <w:tab w:val="left" w:pos="720"/>
          <w:tab w:val="left" w:pos="810"/>
          <w:tab w:val="left" w:pos="1170"/>
          <w:tab w:val="left" w:pos="1260"/>
        </w:tabs>
        <w:spacing w:line="240" w:lineRule="auto"/>
        <w:rPr>
          <w:rFonts w:eastAsia="Calibri"/>
        </w:rPr>
      </w:pPr>
      <w:r w:rsidRPr="00CE2171">
        <w:rPr>
          <w:rFonts w:eastAsia="Calibri"/>
        </w:rPr>
        <w:t xml:space="preserve">Obradovich  J., Gill  A., Biger  N., (2015),  </w:t>
      </w:r>
      <w:r w:rsidRPr="00CE2171">
        <w:rPr>
          <w:rFonts w:eastAsia="Calibri"/>
          <w:i/>
        </w:rPr>
        <w:t>The impact of independent directors on the cash conversion cycle of american manufacturing firms</w:t>
      </w:r>
      <w:r w:rsidRPr="00CE2171">
        <w:rPr>
          <w:rFonts w:eastAsia="Calibri"/>
        </w:rPr>
        <w:t>. International Journal of Economics and Finance, Volume 7, number 1, pp. 87-96.</w:t>
      </w:r>
    </w:p>
    <w:p w:rsidR="0083045F" w:rsidRDefault="0083045F" w:rsidP="0083045F">
      <w:pPr>
        <w:numPr>
          <w:ilvl w:val="0"/>
          <w:numId w:val="4"/>
        </w:numPr>
        <w:tabs>
          <w:tab w:val="left" w:pos="720"/>
          <w:tab w:val="left" w:pos="810"/>
          <w:tab w:val="left" w:pos="1170"/>
          <w:tab w:val="left" w:pos="1260"/>
        </w:tabs>
        <w:spacing w:line="240" w:lineRule="auto"/>
        <w:rPr>
          <w:rFonts w:eastAsia="Calibri"/>
        </w:rPr>
      </w:pPr>
      <w:r w:rsidRPr="00CE2171">
        <w:rPr>
          <w:rFonts w:eastAsia="Calibri"/>
        </w:rPr>
        <w:t xml:space="preserve">Othman R., Ponirin H., Ghani E., (2009), </w:t>
      </w:r>
      <w:r w:rsidRPr="00CE2171">
        <w:rPr>
          <w:rFonts w:eastAsia="Calibri"/>
          <w:i/>
        </w:rPr>
        <w:t>The effect of Board structure on shareholders’ wealth in small listed companies in Malaysia</w:t>
      </w:r>
      <w:r w:rsidRPr="00CE2171">
        <w:rPr>
          <w:rFonts w:eastAsia="Calibri"/>
        </w:rPr>
        <w:t>, Journal of Management science &amp; Engineering, Volume3, number 4, pp. 1-15.</w:t>
      </w:r>
    </w:p>
    <w:p w:rsidR="0083045F" w:rsidRDefault="0083045F" w:rsidP="0083045F">
      <w:pPr>
        <w:numPr>
          <w:ilvl w:val="0"/>
          <w:numId w:val="4"/>
        </w:numPr>
        <w:tabs>
          <w:tab w:val="left" w:pos="720"/>
          <w:tab w:val="left" w:pos="810"/>
          <w:tab w:val="left" w:pos="1170"/>
          <w:tab w:val="left" w:pos="1260"/>
        </w:tabs>
        <w:spacing w:line="240" w:lineRule="auto"/>
        <w:rPr>
          <w:rFonts w:eastAsia="Calibri"/>
        </w:rPr>
      </w:pPr>
      <w:r w:rsidRPr="00CE2171">
        <w:rPr>
          <w:rFonts w:eastAsia="Calibri"/>
        </w:rPr>
        <w:t>Rodgers W., Guiral A., Gonzalo J.A</w:t>
      </w:r>
      <w:r w:rsidRPr="00CE2171">
        <w:rPr>
          <w:rFonts w:eastAsia="Calibri"/>
          <w:i/>
        </w:rPr>
        <w:t>.</w:t>
      </w:r>
      <w:r w:rsidRPr="00CE2171">
        <w:rPr>
          <w:rFonts w:eastAsia="Calibri"/>
        </w:rPr>
        <w:t xml:space="preserve"> (2009), </w:t>
      </w:r>
      <w:r w:rsidRPr="00CE2171">
        <w:rPr>
          <w:rFonts w:eastAsia="Calibri"/>
          <w:i/>
        </w:rPr>
        <w:t>Different pathways that suggest whether auditors’ going concern opinions are ethically based</w:t>
      </w:r>
      <w:r w:rsidRPr="00CE2171">
        <w:rPr>
          <w:rFonts w:eastAsia="Calibri"/>
        </w:rPr>
        <w:t>, Journal of Business Ethics, Volume 86, Issue 3, pp. 347–361.</w:t>
      </w:r>
    </w:p>
    <w:p w:rsidR="0083045F" w:rsidRDefault="0083045F" w:rsidP="0083045F">
      <w:pPr>
        <w:numPr>
          <w:ilvl w:val="0"/>
          <w:numId w:val="4"/>
        </w:numPr>
        <w:tabs>
          <w:tab w:val="left" w:pos="720"/>
          <w:tab w:val="left" w:pos="810"/>
          <w:tab w:val="left" w:pos="1170"/>
          <w:tab w:val="left" w:pos="1260"/>
        </w:tabs>
        <w:spacing w:line="240" w:lineRule="auto"/>
        <w:rPr>
          <w:rFonts w:eastAsia="Calibri"/>
        </w:rPr>
      </w:pPr>
      <w:r w:rsidRPr="00CE2171">
        <w:rPr>
          <w:rFonts w:eastAsia="Calibri"/>
        </w:rPr>
        <w:t xml:space="preserve">Veprauskaite E., Adams M., (2013), </w:t>
      </w:r>
      <w:r w:rsidRPr="00CE2171">
        <w:rPr>
          <w:rFonts w:eastAsia="Calibri"/>
          <w:i/>
        </w:rPr>
        <w:t>Do powerful chief executives influence the financial performance of U.K. firms</w:t>
      </w:r>
      <w:r w:rsidRPr="00CE2171">
        <w:rPr>
          <w:rFonts w:eastAsia="Calibri"/>
        </w:rPr>
        <w:t>?, The British Accounting Review, Vol. 45.</w:t>
      </w:r>
    </w:p>
    <w:p w:rsidR="00C27FD9" w:rsidRPr="0083045F" w:rsidRDefault="0083045F" w:rsidP="0083045F">
      <w:pPr>
        <w:spacing w:line="240" w:lineRule="auto"/>
        <w:rPr>
          <w:rFonts w:cs="Times New Roman"/>
        </w:rPr>
      </w:pPr>
      <w:r>
        <w:t xml:space="preserve">Sites: </w:t>
      </w:r>
      <w:r w:rsidRPr="00CE2171">
        <w:t>www.oxfordjournals.org;</w:t>
      </w:r>
      <w:r>
        <w:t xml:space="preserve"> </w:t>
      </w:r>
      <w:hyperlink r:id="rId13" w:history="1">
        <w:r w:rsidRPr="00CE2171">
          <w:rPr>
            <w:rStyle w:val="Hyperlink"/>
          </w:rPr>
          <w:t>www.onlinelibrary.wiley.com</w:t>
        </w:r>
      </w:hyperlink>
      <w:r w:rsidRPr="00CE2171">
        <w:t>;</w:t>
      </w:r>
      <w:r>
        <w:t xml:space="preserve"> </w:t>
      </w:r>
      <w:r w:rsidRPr="00CE2171">
        <w:t xml:space="preserve">www.proquest.com; </w:t>
      </w:r>
      <w:hyperlink r:id="rId14" w:history="1">
        <w:r w:rsidRPr="00CE2171">
          <w:rPr>
            <w:rStyle w:val="Hyperlink"/>
          </w:rPr>
          <w:t>www.springer.com</w:t>
        </w:r>
      </w:hyperlink>
      <w:r w:rsidRPr="00CE2171">
        <w:t>.</w:t>
      </w:r>
      <w:r w:rsidRPr="00CE2171">
        <w:rPr>
          <w:rFonts w:eastAsia="Calibri"/>
        </w:rPr>
        <w:t>;</w:t>
      </w:r>
      <w:r>
        <w:rPr>
          <w:rFonts w:eastAsia="Calibri"/>
        </w:rPr>
        <w:t xml:space="preserve">  </w:t>
      </w:r>
      <w:hyperlink r:id="rId15" w:history="1">
        <w:r w:rsidRPr="00CE2171">
          <w:rPr>
            <w:rStyle w:val="Hyperlink"/>
          </w:rPr>
          <w:t>www.webofknowledge.com</w:t>
        </w:r>
      </w:hyperlink>
      <w:r w:rsidRPr="00CE2171">
        <w:t>;</w:t>
      </w:r>
      <w:bookmarkStart w:id="0" w:name="_GoBack"/>
      <w:r>
        <w:t xml:space="preserve"> </w:t>
      </w:r>
      <w:bookmarkEnd w:id="0"/>
      <w:r>
        <w:t xml:space="preserve">  </w:t>
      </w:r>
      <w:hyperlink r:id="rId16" w:history="1">
        <w:r w:rsidRPr="00CE2171">
          <w:rPr>
            <w:rStyle w:val="Hyperlink"/>
          </w:rPr>
          <w:t>www.emeraldinsight.com</w:t>
        </w:r>
      </w:hyperlink>
    </w:p>
    <w:sectPr w:rsidR="00C27FD9" w:rsidRPr="0083045F">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962" w:rsidRDefault="00327962" w:rsidP="00E0546F">
      <w:pPr>
        <w:spacing w:line="240" w:lineRule="auto"/>
      </w:pPr>
      <w:r>
        <w:separator/>
      </w:r>
    </w:p>
  </w:endnote>
  <w:endnote w:type="continuationSeparator" w:id="0">
    <w:p w:rsidR="00327962" w:rsidRDefault="00327962" w:rsidP="00E054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962" w:rsidRDefault="00327962" w:rsidP="00E0546F">
      <w:pPr>
        <w:spacing w:line="240" w:lineRule="auto"/>
      </w:pPr>
      <w:r>
        <w:separator/>
      </w:r>
    </w:p>
  </w:footnote>
  <w:footnote w:type="continuationSeparator" w:id="0">
    <w:p w:rsidR="00327962" w:rsidRDefault="00327962" w:rsidP="00E0546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A64FF0"/>
    <w:multiLevelType w:val="hybridMultilevel"/>
    <w:tmpl w:val="D0B8E12E"/>
    <w:lvl w:ilvl="0" w:tplc="1B18C568">
      <w:start w:val="1"/>
      <w:numFmt w:val="decimal"/>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
    <w:nsid w:val="60A90DE1"/>
    <w:multiLevelType w:val="multilevel"/>
    <w:tmpl w:val="333E4800"/>
    <w:lvl w:ilvl="0">
      <w:start w:val="1"/>
      <w:numFmt w:val="decimal"/>
      <w:lvlText w:val="%1."/>
      <w:lvlJc w:val="left"/>
      <w:pPr>
        <w:ind w:left="1066" w:hanging="360"/>
      </w:pPr>
      <w:rPr>
        <w:rFonts w:hint="default"/>
      </w:rPr>
    </w:lvl>
    <w:lvl w:ilvl="1">
      <w:start w:val="1"/>
      <w:numFmt w:val="decimal"/>
      <w:isLgl/>
      <w:lvlText w:val="%1.%2."/>
      <w:lvlJc w:val="left"/>
      <w:pPr>
        <w:ind w:left="1186" w:hanging="480"/>
      </w:pPr>
      <w:rPr>
        <w:rFonts w:hint="default"/>
      </w:rPr>
    </w:lvl>
    <w:lvl w:ilvl="2">
      <w:start w:val="1"/>
      <w:numFmt w:val="decimal"/>
      <w:isLgl/>
      <w:lvlText w:val="%1.%2.%3."/>
      <w:lvlJc w:val="left"/>
      <w:pPr>
        <w:ind w:left="1426" w:hanging="720"/>
      </w:pPr>
      <w:rPr>
        <w:rFonts w:hint="default"/>
      </w:rPr>
    </w:lvl>
    <w:lvl w:ilvl="3">
      <w:start w:val="1"/>
      <w:numFmt w:val="decimal"/>
      <w:isLgl/>
      <w:lvlText w:val="%1.%2.%3.%4."/>
      <w:lvlJc w:val="left"/>
      <w:pPr>
        <w:ind w:left="1426" w:hanging="720"/>
      </w:pPr>
      <w:rPr>
        <w:rFonts w:hint="default"/>
      </w:rPr>
    </w:lvl>
    <w:lvl w:ilvl="4">
      <w:start w:val="1"/>
      <w:numFmt w:val="decimal"/>
      <w:isLgl/>
      <w:lvlText w:val="%1.%2.%3.%4.%5."/>
      <w:lvlJc w:val="left"/>
      <w:pPr>
        <w:ind w:left="1786" w:hanging="1080"/>
      </w:pPr>
      <w:rPr>
        <w:rFonts w:hint="default"/>
      </w:rPr>
    </w:lvl>
    <w:lvl w:ilvl="5">
      <w:start w:val="1"/>
      <w:numFmt w:val="decimal"/>
      <w:isLgl/>
      <w:lvlText w:val="%1.%2.%3.%4.%5.%6."/>
      <w:lvlJc w:val="left"/>
      <w:pPr>
        <w:ind w:left="1786" w:hanging="1080"/>
      </w:pPr>
      <w:rPr>
        <w:rFonts w:hint="default"/>
      </w:rPr>
    </w:lvl>
    <w:lvl w:ilvl="6">
      <w:start w:val="1"/>
      <w:numFmt w:val="decimal"/>
      <w:isLgl/>
      <w:lvlText w:val="%1.%2.%3.%4.%5.%6.%7."/>
      <w:lvlJc w:val="left"/>
      <w:pPr>
        <w:ind w:left="2146" w:hanging="1440"/>
      </w:pPr>
      <w:rPr>
        <w:rFonts w:hint="default"/>
      </w:rPr>
    </w:lvl>
    <w:lvl w:ilvl="7">
      <w:start w:val="1"/>
      <w:numFmt w:val="decimal"/>
      <w:isLgl/>
      <w:lvlText w:val="%1.%2.%3.%4.%5.%6.%7.%8."/>
      <w:lvlJc w:val="left"/>
      <w:pPr>
        <w:ind w:left="2146" w:hanging="1440"/>
      </w:pPr>
      <w:rPr>
        <w:rFonts w:hint="default"/>
      </w:rPr>
    </w:lvl>
    <w:lvl w:ilvl="8">
      <w:start w:val="1"/>
      <w:numFmt w:val="decimal"/>
      <w:isLgl/>
      <w:lvlText w:val="%1.%2.%3.%4.%5.%6.%7.%8.%9."/>
      <w:lvlJc w:val="left"/>
      <w:pPr>
        <w:ind w:left="2506" w:hanging="1800"/>
      </w:pPr>
      <w:rPr>
        <w:rFonts w:hint="default"/>
      </w:rPr>
    </w:lvl>
  </w:abstractNum>
  <w:abstractNum w:abstractNumId="2">
    <w:nsid w:val="64817ED2"/>
    <w:multiLevelType w:val="hybridMultilevel"/>
    <w:tmpl w:val="D2CC78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6F2D5CAD"/>
    <w:multiLevelType w:val="hybridMultilevel"/>
    <w:tmpl w:val="75360E28"/>
    <w:lvl w:ilvl="0" w:tplc="9098BD1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716"/>
    <w:rsid w:val="00010A50"/>
    <w:rsid w:val="00041668"/>
    <w:rsid w:val="00061BD0"/>
    <w:rsid w:val="00063EF3"/>
    <w:rsid w:val="000B1B68"/>
    <w:rsid w:val="001454CB"/>
    <w:rsid w:val="00163C37"/>
    <w:rsid w:val="00165E24"/>
    <w:rsid w:val="001A02E2"/>
    <w:rsid w:val="001C3422"/>
    <w:rsid w:val="002D0AB6"/>
    <w:rsid w:val="00327962"/>
    <w:rsid w:val="003A2205"/>
    <w:rsid w:val="003C067B"/>
    <w:rsid w:val="00431CCC"/>
    <w:rsid w:val="0046639B"/>
    <w:rsid w:val="00503CAB"/>
    <w:rsid w:val="005066C7"/>
    <w:rsid w:val="00573530"/>
    <w:rsid w:val="005D4515"/>
    <w:rsid w:val="005E4716"/>
    <w:rsid w:val="005F3519"/>
    <w:rsid w:val="005F4F59"/>
    <w:rsid w:val="00720051"/>
    <w:rsid w:val="00747382"/>
    <w:rsid w:val="00751D11"/>
    <w:rsid w:val="007E194F"/>
    <w:rsid w:val="0083045F"/>
    <w:rsid w:val="008652AC"/>
    <w:rsid w:val="00883DA6"/>
    <w:rsid w:val="00924C7D"/>
    <w:rsid w:val="00951128"/>
    <w:rsid w:val="0096617E"/>
    <w:rsid w:val="0097127E"/>
    <w:rsid w:val="009C60F1"/>
    <w:rsid w:val="009E16DC"/>
    <w:rsid w:val="00A07F5D"/>
    <w:rsid w:val="00A6293C"/>
    <w:rsid w:val="00A66382"/>
    <w:rsid w:val="00A73049"/>
    <w:rsid w:val="00A75C45"/>
    <w:rsid w:val="00A975FC"/>
    <w:rsid w:val="00AB4BB9"/>
    <w:rsid w:val="00AC2F84"/>
    <w:rsid w:val="00AF3222"/>
    <w:rsid w:val="00AF591F"/>
    <w:rsid w:val="00B6737F"/>
    <w:rsid w:val="00BE2767"/>
    <w:rsid w:val="00C14586"/>
    <w:rsid w:val="00C27FD9"/>
    <w:rsid w:val="00CE48D7"/>
    <w:rsid w:val="00CF095F"/>
    <w:rsid w:val="00D129C4"/>
    <w:rsid w:val="00E03E2C"/>
    <w:rsid w:val="00E0546F"/>
    <w:rsid w:val="00E27D09"/>
    <w:rsid w:val="00F70995"/>
    <w:rsid w:val="00FE7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6DC"/>
    <w:pPr>
      <w:spacing w:after="0" w:line="360" w:lineRule="auto"/>
      <w:ind w:firstLine="706"/>
      <w:jc w:val="both"/>
    </w:pPr>
    <w:rPr>
      <w:rFonts w:ascii="Times New Roman" w:hAnsi="Times New Roman"/>
      <w:sz w:val="24"/>
      <w:lang w:val="ro-RO"/>
    </w:rPr>
  </w:style>
  <w:style w:type="paragraph" w:styleId="Titlu1">
    <w:name w:val="heading 1"/>
    <w:basedOn w:val="Normal"/>
    <w:next w:val="Normal"/>
    <w:link w:val="Titlu1Caracter"/>
    <w:uiPriority w:val="9"/>
    <w:qFormat/>
    <w:rsid w:val="009E16DC"/>
    <w:pPr>
      <w:keepNext/>
      <w:keepLines/>
      <w:spacing w:before="480" w:line="240" w:lineRule="auto"/>
      <w:ind w:left="1426" w:hanging="36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uiPriority w:val="9"/>
    <w:unhideWhenUsed/>
    <w:qFormat/>
    <w:rsid w:val="00431C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lu3">
    <w:name w:val="heading 3"/>
    <w:basedOn w:val="Normal"/>
    <w:next w:val="Normal"/>
    <w:link w:val="Titlu3Caracter"/>
    <w:uiPriority w:val="9"/>
    <w:unhideWhenUsed/>
    <w:qFormat/>
    <w:rsid w:val="007E194F"/>
    <w:pPr>
      <w:keepNext/>
      <w:keepLines/>
      <w:spacing w:before="200"/>
      <w:outlineLvl w:val="2"/>
    </w:pPr>
    <w:rPr>
      <w:rFonts w:asciiTheme="majorHAnsi" w:eastAsiaTheme="majorEastAsia" w:hAnsiTheme="majorHAnsi" w:cstheme="majorBidi"/>
      <w:b/>
      <w:bCs/>
      <w:color w:val="4F81BD" w:themeColor="accent1"/>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9E16DC"/>
    <w:rPr>
      <w:rFonts w:asciiTheme="majorHAnsi" w:eastAsiaTheme="majorEastAsia" w:hAnsiTheme="majorHAnsi" w:cstheme="majorBidi"/>
      <w:b/>
      <w:bCs/>
      <w:color w:val="365F91" w:themeColor="accent1" w:themeShade="BF"/>
      <w:sz w:val="28"/>
      <w:szCs w:val="28"/>
      <w:lang w:val="ro-RO"/>
    </w:rPr>
  </w:style>
  <w:style w:type="paragraph" w:styleId="Legend">
    <w:name w:val="caption"/>
    <w:basedOn w:val="Normal"/>
    <w:next w:val="Normal"/>
    <w:uiPriority w:val="35"/>
    <w:unhideWhenUsed/>
    <w:qFormat/>
    <w:rsid w:val="008652AC"/>
    <w:pPr>
      <w:spacing w:after="200" w:line="240" w:lineRule="auto"/>
      <w:jc w:val="center"/>
    </w:pPr>
    <w:rPr>
      <w:b/>
      <w:bCs/>
      <w:color w:val="4F81BD" w:themeColor="accent1"/>
      <w:sz w:val="20"/>
      <w:szCs w:val="18"/>
    </w:rPr>
  </w:style>
  <w:style w:type="paragraph" w:styleId="TextnBalon">
    <w:name w:val="Balloon Text"/>
    <w:basedOn w:val="Normal"/>
    <w:link w:val="TextnBalonCaracter"/>
    <w:uiPriority w:val="99"/>
    <w:semiHidden/>
    <w:unhideWhenUsed/>
    <w:rsid w:val="005E4716"/>
    <w:pPr>
      <w:spacing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E4716"/>
    <w:rPr>
      <w:rFonts w:ascii="Tahoma" w:hAnsi="Tahoma" w:cs="Tahoma"/>
      <w:sz w:val="16"/>
      <w:szCs w:val="16"/>
      <w:lang w:val="ro-RO"/>
    </w:rPr>
  </w:style>
  <w:style w:type="character" w:customStyle="1" w:styleId="apple-converted-space">
    <w:name w:val="apple-converted-space"/>
    <w:basedOn w:val="Fontdeparagrafimplicit"/>
    <w:rsid w:val="000B1B68"/>
  </w:style>
  <w:style w:type="paragraph" w:styleId="Antet">
    <w:name w:val="header"/>
    <w:basedOn w:val="Normal"/>
    <w:link w:val="AntetCaracter"/>
    <w:uiPriority w:val="99"/>
    <w:unhideWhenUsed/>
    <w:rsid w:val="00E0546F"/>
    <w:pPr>
      <w:tabs>
        <w:tab w:val="center" w:pos="4536"/>
        <w:tab w:val="right" w:pos="9072"/>
      </w:tabs>
      <w:spacing w:line="240" w:lineRule="auto"/>
    </w:pPr>
  </w:style>
  <w:style w:type="character" w:customStyle="1" w:styleId="AntetCaracter">
    <w:name w:val="Antet Caracter"/>
    <w:basedOn w:val="Fontdeparagrafimplicit"/>
    <w:link w:val="Antet"/>
    <w:uiPriority w:val="99"/>
    <w:rsid w:val="00E0546F"/>
    <w:rPr>
      <w:rFonts w:ascii="Times New Roman" w:hAnsi="Times New Roman"/>
      <w:sz w:val="24"/>
      <w:lang w:val="ro-RO"/>
    </w:rPr>
  </w:style>
  <w:style w:type="paragraph" w:styleId="Subsol">
    <w:name w:val="footer"/>
    <w:basedOn w:val="Normal"/>
    <w:link w:val="SubsolCaracter"/>
    <w:uiPriority w:val="99"/>
    <w:unhideWhenUsed/>
    <w:rsid w:val="00E0546F"/>
    <w:pPr>
      <w:tabs>
        <w:tab w:val="center" w:pos="4536"/>
        <w:tab w:val="right" w:pos="9072"/>
      </w:tabs>
      <w:spacing w:line="240" w:lineRule="auto"/>
    </w:pPr>
  </w:style>
  <w:style w:type="character" w:customStyle="1" w:styleId="SubsolCaracter">
    <w:name w:val="Subsol Caracter"/>
    <w:basedOn w:val="Fontdeparagrafimplicit"/>
    <w:link w:val="Subsol"/>
    <w:uiPriority w:val="99"/>
    <w:rsid w:val="00E0546F"/>
    <w:rPr>
      <w:rFonts w:ascii="Times New Roman" w:hAnsi="Times New Roman"/>
      <w:sz w:val="24"/>
      <w:lang w:val="ro-RO"/>
    </w:rPr>
  </w:style>
  <w:style w:type="paragraph" w:styleId="Frspaiere">
    <w:name w:val="No Spacing"/>
    <w:uiPriority w:val="1"/>
    <w:qFormat/>
    <w:rsid w:val="00E0546F"/>
    <w:pPr>
      <w:spacing w:after="0" w:line="240" w:lineRule="auto"/>
      <w:ind w:firstLine="706"/>
      <w:jc w:val="both"/>
    </w:pPr>
    <w:rPr>
      <w:rFonts w:ascii="Times New Roman" w:hAnsi="Times New Roman"/>
      <w:sz w:val="24"/>
      <w:lang w:val="ro-RO"/>
    </w:rPr>
  </w:style>
  <w:style w:type="character" w:customStyle="1" w:styleId="Titlu3Caracter">
    <w:name w:val="Titlu 3 Caracter"/>
    <w:basedOn w:val="Fontdeparagrafimplicit"/>
    <w:link w:val="Titlu3"/>
    <w:uiPriority w:val="9"/>
    <w:rsid w:val="007E194F"/>
    <w:rPr>
      <w:rFonts w:asciiTheme="majorHAnsi" w:eastAsiaTheme="majorEastAsia" w:hAnsiTheme="majorHAnsi" w:cstheme="majorBidi"/>
      <w:b/>
      <w:bCs/>
      <w:color w:val="4F81BD" w:themeColor="accent1"/>
      <w:sz w:val="24"/>
      <w:lang w:val="ro-RO"/>
    </w:rPr>
  </w:style>
  <w:style w:type="paragraph" w:styleId="Textnotdesubsol">
    <w:name w:val="footnote text"/>
    <w:basedOn w:val="Normal"/>
    <w:link w:val="TextnotdesubsolCaracter"/>
    <w:uiPriority w:val="99"/>
    <w:unhideWhenUsed/>
    <w:rsid w:val="007E194F"/>
    <w:pPr>
      <w:spacing w:line="240" w:lineRule="auto"/>
    </w:pPr>
    <w:rPr>
      <w:sz w:val="20"/>
      <w:szCs w:val="20"/>
    </w:rPr>
  </w:style>
  <w:style w:type="character" w:customStyle="1" w:styleId="TextnotdesubsolCaracter">
    <w:name w:val="Text notă de subsol Caracter"/>
    <w:basedOn w:val="Fontdeparagrafimplicit"/>
    <w:link w:val="Textnotdesubsol"/>
    <w:uiPriority w:val="99"/>
    <w:rsid w:val="007E194F"/>
    <w:rPr>
      <w:rFonts w:ascii="Times New Roman" w:hAnsi="Times New Roman"/>
      <w:sz w:val="20"/>
      <w:szCs w:val="20"/>
      <w:lang w:val="ro-RO"/>
    </w:rPr>
  </w:style>
  <w:style w:type="character" w:styleId="Referinnotdesubsol">
    <w:name w:val="footnote reference"/>
    <w:basedOn w:val="Fontdeparagrafimplicit"/>
    <w:uiPriority w:val="99"/>
    <w:semiHidden/>
    <w:unhideWhenUsed/>
    <w:rsid w:val="007E194F"/>
    <w:rPr>
      <w:vertAlign w:val="superscript"/>
    </w:rPr>
  </w:style>
  <w:style w:type="character" w:customStyle="1" w:styleId="Titlu2Caracter">
    <w:name w:val="Titlu 2 Caracter"/>
    <w:basedOn w:val="Fontdeparagrafimplicit"/>
    <w:link w:val="Titlu2"/>
    <w:uiPriority w:val="9"/>
    <w:rsid w:val="00431CCC"/>
    <w:rPr>
      <w:rFonts w:asciiTheme="majorHAnsi" w:eastAsiaTheme="majorEastAsia" w:hAnsiTheme="majorHAnsi" w:cstheme="majorBidi"/>
      <w:b/>
      <w:bCs/>
      <w:color w:val="4F81BD" w:themeColor="accent1"/>
      <w:sz w:val="26"/>
      <w:szCs w:val="26"/>
      <w:lang w:val="ro-RO"/>
    </w:rPr>
  </w:style>
  <w:style w:type="character" w:styleId="Accentuat">
    <w:name w:val="Emphasis"/>
    <w:basedOn w:val="Fontdeparagrafimplicit"/>
    <w:uiPriority w:val="20"/>
    <w:qFormat/>
    <w:rsid w:val="00951128"/>
    <w:rPr>
      <w:i/>
      <w:iCs/>
    </w:rPr>
  </w:style>
  <w:style w:type="paragraph" w:styleId="Listparagraf">
    <w:name w:val="List Paragraph"/>
    <w:basedOn w:val="Normal"/>
    <w:uiPriority w:val="34"/>
    <w:qFormat/>
    <w:rsid w:val="00B6737F"/>
    <w:pPr>
      <w:ind w:left="720"/>
      <w:contextualSpacing/>
    </w:pPr>
  </w:style>
  <w:style w:type="table" w:styleId="GrilTabel">
    <w:name w:val="Table Grid"/>
    <w:basedOn w:val="TabelNormal"/>
    <w:uiPriority w:val="59"/>
    <w:rsid w:val="00A663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medie2-Accentuare5">
    <w:name w:val="Medium List 2 Accent 5"/>
    <w:basedOn w:val="TabelNormal"/>
    <w:uiPriority w:val="66"/>
    <w:rsid w:val="00A6638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1">
    <w:name w:val="Medium List 2 Accent 1"/>
    <w:basedOn w:val="TabelNormal"/>
    <w:uiPriority w:val="66"/>
    <w:rsid w:val="00A6638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Hyperlink">
    <w:name w:val="Hyperlink"/>
    <w:basedOn w:val="Fontdeparagrafimplicit"/>
    <w:uiPriority w:val="99"/>
    <w:unhideWhenUsed/>
    <w:rsid w:val="00C27FD9"/>
    <w:rPr>
      <w:color w:val="0000FF" w:themeColor="hyperlink"/>
      <w:u w:val="single"/>
    </w:rPr>
  </w:style>
  <w:style w:type="paragraph" w:customStyle="1" w:styleId="CharCharCharCharCharCharChar">
    <w:name w:val=" Char Char Char Char Char Char Char"/>
    <w:basedOn w:val="Normal"/>
    <w:rsid w:val="00F70995"/>
    <w:pPr>
      <w:spacing w:after="160" w:line="240" w:lineRule="exact"/>
      <w:ind w:firstLine="0"/>
      <w:jc w:val="left"/>
    </w:pPr>
    <w:rPr>
      <w:rFonts w:ascii="Tahoma" w:eastAsia="Times New Roman" w:hAnsi="Tahom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6DC"/>
    <w:pPr>
      <w:spacing w:after="0" w:line="360" w:lineRule="auto"/>
      <w:ind w:firstLine="706"/>
      <w:jc w:val="both"/>
    </w:pPr>
    <w:rPr>
      <w:rFonts w:ascii="Times New Roman" w:hAnsi="Times New Roman"/>
      <w:sz w:val="24"/>
      <w:lang w:val="ro-RO"/>
    </w:rPr>
  </w:style>
  <w:style w:type="paragraph" w:styleId="Titlu1">
    <w:name w:val="heading 1"/>
    <w:basedOn w:val="Normal"/>
    <w:next w:val="Normal"/>
    <w:link w:val="Titlu1Caracter"/>
    <w:uiPriority w:val="9"/>
    <w:qFormat/>
    <w:rsid w:val="009E16DC"/>
    <w:pPr>
      <w:keepNext/>
      <w:keepLines/>
      <w:spacing w:before="480" w:line="240" w:lineRule="auto"/>
      <w:ind w:left="1426" w:hanging="36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uiPriority w:val="9"/>
    <w:unhideWhenUsed/>
    <w:qFormat/>
    <w:rsid w:val="00431C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lu3">
    <w:name w:val="heading 3"/>
    <w:basedOn w:val="Normal"/>
    <w:next w:val="Normal"/>
    <w:link w:val="Titlu3Caracter"/>
    <w:uiPriority w:val="9"/>
    <w:unhideWhenUsed/>
    <w:qFormat/>
    <w:rsid w:val="007E194F"/>
    <w:pPr>
      <w:keepNext/>
      <w:keepLines/>
      <w:spacing w:before="200"/>
      <w:outlineLvl w:val="2"/>
    </w:pPr>
    <w:rPr>
      <w:rFonts w:asciiTheme="majorHAnsi" w:eastAsiaTheme="majorEastAsia" w:hAnsiTheme="majorHAnsi" w:cstheme="majorBidi"/>
      <w:b/>
      <w:bCs/>
      <w:color w:val="4F81BD" w:themeColor="accent1"/>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9E16DC"/>
    <w:rPr>
      <w:rFonts w:asciiTheme="majorHAnsi" w:eastAsiaTheme="majorEastAsia" w:hAnsiTheme="majorHAnsi" w:cstheme="majorBidi"/>
      <w:b/>
      <w:bCs/>
      <w:color w:val="365F91" w:themeColor="accent1" w:themeShade="BF"/>
      <w:sz w:val="28"/>
      <w:szCs w:val="28"/>
      <w:lang w:val="ro-RO"/>
    </w:rPr>
  </w:style>
  <w:style w:type="paragraph" w:styleId="Legend">
    <w:name w:val="caption"/>
    <w:basedOn w:val="Normal"/>
    <w:next w:val="Normal"/>
    <w:uiPriority w:val="35"/>
    <w:unhideWhenUsed/>
    <w:qFormat/>
    <w:rsid w:val="008652AC"/>
    <w:pPr>
      <w:spacing w:after="200" w:line="240" w:lineRule="auto"/>
      <w:jc w:val="center"/>
    </w:pPr>
    <w:rPr>
      <w:b/>
      <w:bCs/>
      <w:color w:val="4F81BD" w:themeColor="accent1"/>
      <w:sz w:val="20"/>
      <w:szCs w:val="18"/>
    </w:rPr>
  </w:style>
  <w:style w:type="paragraph" w:styleId="TextnBalon">
    <w:name w:val="Balloon Text"/>
    <w:basedOn w:val="Normal"/>
    <w:link w:val="TextnBalonCaracter"/>
    <w:uiPriority w:val="99"/>
    <w:semiHidden/>
    <w:unhideWhenUsed/>
    <w:rsid w:val="005E4716"/>
    <w:pPr>
      <w:spacing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E4716"/>
    <w:rPr>
      <w:rFonts w:ascii="Tahoma" w:hAnsi="Tahoma" w:cs="Tahoma"/>
      <w:sz w:val="16"/>
      <w:szCs w:val="16"/>
      <w:lang w:val="ro-RO"/>
    </w:rPr>
  </w:style>
  <w:style w:type="character" w:customStyle="1" w:styleId="apple-converted-space">
    <w:name w:val="apple-converted-space"/>
    <w:basedOn w:val="Fontdeparagrafimplicit"/>
    <w:rsid w:val="000B1B68"/>
  </w:style>
  <w:style w:type="paragraph" w:styleId="Antet">
    <w:name w:val="header"/>
    <w:basedOn w:val="Normal"/>
    <w:link w:val="AntetCaracter"/>
    <w:uiPriority w:val="99"/>
    <w:unhideWhenUsed/>
    <w:rsid w:val="00E0546F"/>
    <w:pPr>
      <w:tabs>
        <w:tab w:val="center" w:pos="4536"/>
        <w:tab w:val="right" w:pos="9072"/>
      </w:tabs>
      <w:spacing w:line="240" w:lineRule="auto"/>
    </w:pPr>
  </w:style>
  <w:style w:type="character" w:customStyle="1" w:styleId="AntetCaracter">
    <w:name w:val="Antet Caracter"/>
    <w:basedOn w:val="Fontdeparagrafimplicit"/>
    <w:link w:val="Antet"/>
    <w:uiPriority w:val="99"/>
    <w:rsid w:val="00E0546F"/>
    <w:rPr>
      <w:rFonts w:ascii="Times New Roman" w:hAnsi="Times New Roman"/>
      <w:sz w:val="24"/>
      <w:lang w:val="ro-RO"/>
    </w:rPr>
  </w:style>
  <w:style w:type="paragraph" w:styleId="Subsol">
    <w:name w:val="footer"/>
    <w:basedOn w:val="Normal"/>
    <w:link w:val="SubsolCaracter"/>
    <w:uiPriority w:val="99"/>
    <w:unhideWhenUsed/>
    <w:rsid w:val="00E0546F"/>
    <w:pPr>
      <w:tabs>
        <w:tab w:val="center" w:pos="4536"/>
        <w:tab w:val="right" w:pos="9072"/>
      </w:tabs>
      <w:spacing w:line="240" w:lineRule="auto"/>
    </w:pPr>
  </w:style>
  <w:style w:type="character" w:customStyle="1" w:styleId="SubsolCaracter">
    <w:name w:val="Subsol Caracter"/>
    <w:basedOn w:val="Fontdeparagrafimplicit"/>
    <w:link w:val="Subsol"/>
    <w:uiPriority w:val="99"/>
    <w:rsid w:val="00E0546F"/>
    <w:rPr>
      <w:rFonts w:ascii="Times New Roman" w:hAnsi="Times New Roman"/>
      <w:sz w:val="24"/>
      <w:lang w:val="ro-RO"/>
    </w:rPr>
  </w:style>
  <w:style w:type="paragraph" w:styleId="Frspaiere">
    <w:name w:val="No Spacing"/>
    <w:uiPriority w:val="1"/>
    <w:qFormat/>
    <w:rsid w:val="00E0546F"/>
    <w:pPr>
      <w:spacing w:after="0" w:line="240" w:lineRule="auto"/>
      <w:ind w:firstLine="706"/>
      <w:jc w:val="both"/>
    </w:pPr>
    <w:rPr>
      <w:rFonts w:ascii="Times New Roman" w:hAnsi="Times New Roman"/>
      <w:sz w:val="24"/>
      <w:lang w:val="ro-RO"/>
    </w:rPr>
  </w:style>
  <w:style w:type="character" w:customStyle="1" w:styleId="Titlu3Caracter">
    <w:name w:val="Titlu 3 Caracter"/>
    <w:basedOn w:val="Fontdeparagrafimplicit"/>
    <w:link w:val="Titlu3"/>
    <w:uiPriority w:val="9"/>
    <w:rsid w:val="007E194F"/>
    <w:rPr>
      <w:rFonts w:asciiTheme="majorHAnsi" w:eastAsiaTheme="majorEastAsia" w:hAnsiTheme="majorHAnsi" w:cstheme="majorBidi"/>
      <w:b/>
      <w:bCs/>
      <w:color w:val="4F81BD" w:themeColor="accent1"/>
      <w:sz w:val="24"/>
      <w:lang w:val="ro-RO"/>
    </w:rPr>
  </w:style>
  <w:style w:type="paragraph" w:styleId="Textnotdesubsol">
    <w:name w:val="footnote text"/>
    <w:basedOn w:val="Normal"/>
    <w:link w:val="TextnotdesubsolCaracter"/>
    <w:uiPriority w:val="99"/>
    <w:unhideWhenUsed/>
    <w:rsid w:val="007E194F"/>
    <w:pPr>
      <w:spacing w:line="240" w:lineRule="auto"/>
    </w:pPr>
    <w:rPr>
      <w:sz w:val="20"/>
      <w:szCs w:val="20"/>
    </w:rPr>
  </w:style>
  <w:style w:type="character" w:customStyle="1" w:styleId="TextnotdesubsolCaracter">
    <w:name w:val="Text notă de subsol Caracter"/>
    <w:basedOn w:val="Fontdeparagrafimplicit"/>
    <w:link w:val="Textnotdesubsol"/>
    <w:uiPriority w:val="99"/>
    <w:rsid w:val="007E194F"/>
    <w:rPr>
      <w:rFonts w:ascii="Times New Roman" w:hAnsi="Times New Roman"/>
      <w:sz w:val="20"/>
      <w:szCs w:val="20"/>
      <w:lang w:val="ro-RO"/>
    </w:rPr>
  </w:style>
  <w:style w:type="character" w:styleId="Referinnotdesubsol">
    <w:name w:val="footnote reference"/>
    <w:basedOn w:val="Fontdeparagrafimplicit"/>
    <w:uiPriority w:val="99"/>
    <w:semiHidden/>
    <w:unhideWhenUsed/>
    <w:rsid w:val="007E194F"/>
    <w:rPr>
      <w:vertAlign w:val="superscript"/>
    </w:rPr>
  </w:style>
  <w:style w:type="character" w:customStyle="1" w:styleId="Titlu2Caracter">
    <w:name w:val="Titlu 2 Caracter"/>
    <w:basedOn w:val="Fontdeparagrafimplicit"/>
    <w:link w:val="Titlu2"/>
    <w:uiPriority w:val="9"/>
    <w:rsid w:val="00431CCC"/>
    <w:rPr>
      <w:rFonts w:asciiTheme="majorHAnsi" w:eastAsiaTheme="majorEastAsia" w:hAnsiTheme="majorHAnsi" w:cstheme="majorBidi"/>
      <w:b/>
      <w:bCs/>
      <w:color w:val="4F81BD" w:themeColor="accent1"/>
      <w:sz w:val="26"/>
      <w:szCs w:val="26"/>
      <w:lang w:val="ro-RO"/>
    </w:rPr>
  </w:style>
  <w:style w:type="character" w:styleId="Accentuat">
    <w:name w:val="Emphasis"/>
    <w:basedOn w:val="Fontdeparagrafimplicit"/>
    <w:uiPriority w:val="20"/>
    <w:qFormat/>
    <w:rsid w:val="00951128"/>
    <w:rPr>
      <w:i/>
      <w:iCs/>
    </w:rPr>
  </w:style>
  <w:style w:type="paragraph" w:styleId="Listparagraf">
    <w:name w:val="List Paragraph"/>
    <w:basedOn w:val="Normal"/>
    <w:uiPriority w:val="34"/>
    <w:qFormat/>
    <w:rsid w:val="00B6737F"/>
    <w:pPr>
      <w:ind w:left="720"/>
      <w:contextualSpacing/>
    </w:pPr>
  </w:style>
  <w:style w:type="table" w:styleId="GrilTabel">
    <w:name w:val="Table Grid"/>
    <w:basedOn w:val="TabelNormal"/>
    <w:uiPriority w:val="59"/>
    <w:rsid w:val="00A663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medie2-Accentuare5">
    <w:name w:val="Medium List 2 Accent 5"/>
    <w:basedOn w:val="TabelNormal"/>
    <w:uiPriority w:val="66"/>
    <w:rsid w:val="00A6638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1">
    <w:name w:val="Medium List 2 Accent 1"/>
    <w:basedOn w:val="TabelNormal"/>
    <w:uiPriority w:val="66"/>
    <w:rsid w:val="00A6638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Hyperlink">
    <w:name w:val="Hyperlink"/>
    <w:basedOn w:val="Fontdeparagrafimplicit"/>
    <w:uiPriority w:val="99"/>
    <w:unhideWhenUsed/>
    <w:rsid w:val="00C27FD9"/>
    <w:rPr>
      <w:color w:val="0000FF" w:themeColor="hyperlink"/>
      <w:u w:val="single"/>
    </w:rPr>
  </w:style>
  <w:style w:type="paragraph" w:customStyle="1" w:styleId="CharCharCharCharCharCharChar">
    <w:name w:val=" Char Char Char Char Char Char Char"/>
    <w:basedOn w:val="Normal"/>
    <w:rsid w:val="00F70995"/>
    <w:pPr>
      <w:spacing w:after="160" w:line="240" w:lineRule="exact"/>
      <w:ind w:firstLine="0"/>
      <w:jc w:val="lef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nlinelibrary.wiley.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meraldinsight.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www.webofknowledge.com"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spring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B33A0-A5A3-4189-BE87-6839D615F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12</Pages>
  <Words>5797</Words>
  <Characters>33628</Characters>
  <Application>Microsoft Office Word</Application>
  <DocSecurity>0</DocSecurity>
  <Lines>280</Lines>
  <Paragraphs>78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39347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Narcisa</dc:creator>
  <cp:keywords/>
  <dc:description/>
  <cp:lastModifiedBy>Narcisa</cp:lastModifiedBy>
  <cp:revision>6</cp:revision>
  <dcterms:created xsi:type="dcterms:W3CDTF">2016-09-21T08:51:00Z</dcterms:created>
  <dcterms:modified xsi:type="dcterms:W3CDTF">2016-10-15T19:37:00Z</dcterms:modified>
</cp:coreProperties>
</file>