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C7" w:rsidRPr="002F5C4C" w:rsidRDefault="00A677C7" w:rsidP="00BB1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358661550"/>
      <w:r w:rsidRPr="002F5C4C">
        <w:rPr>
          <w:rFonts w:ascii="Times New Roman" w:hAnsi="Times New Roman"/>
          <w:b/>
          <w:sz w:val="28"/>
          <w:szCs w:val="28"/>
        </w:rPr>
        <w:t>Rolul Băncii Naționale a României în asigurarea macrostabilității și prudențialității bancare</w:t>
      </w:r>
    </w:p>
    <w:p w:rsidR="00A677C7" w:rsidRPr="002F5C4C" w:rsidRDefault="00A677C7" w:rsidP="00BB163A">
      <w:pPr>
        <w:spacing w:after="0" w:line="240" w:lineRule="auto"/>
        <w:jc w:val="center"/>
        <w:rPr>
          <w:rFonts w:ascii="Times New Roman" w:hAnsi="Times New Roman"/>
        </w:rPr>
      </w:pPr>
    </w:p>
    <w:p w:rsidR="00F636B2" w:rsidRDefault="004A5D27" w:rsidP="00F63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sz w:val="20"/>
          <w:szCs w:val="20"/>
        </w:rPr>
      </w:pPr>
      <w:r w:rsidRPr="00972BE4">
        <w:rPr>
          <w:rFonts w:ascii="Times New Roman" w:hAnsi="Times New Roman"/>
          <w:b/>
          <w:i/>
          <w:sz w:val="20"/>
          <w:szCs w:val="20"/>
        </w:rPr>
        <w:t>Abstract:</w:t>
      </w:r>
      <w:r w:rsidRPr="00972BE4">
        <w:rPr>
          <w:i/>
          <w:sz w:val="20"/>
          <w:szCs w:val="20"/>
        </w:rPr>
        <w:t xml:space="preserve"> </w:t>
      </w:r>
    </w:p>
    <w:p w:rsidR="004A5D27" w:rsidRPr="00972BE4" w:rsidRDefault="004A5D27" w:rsidP="00F636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972BE4">
        <w:rPr>
          <w:rFonts w:ascii="Times New Roman" w:hAnsi="Times New Roman"/>
          <w:i/>
          <w:sz w:val="20"/>
          <w:szCs w:val="20"/>
        </w:rPr>
        <w:t xml:space="preserve">Banca centrală, placă turnantă a sistemului bancar, are menirea de a concepe și </w:t>
      </w:r>
      <w:r w:rsidR="00556D54" w:rsidRPr="00972BE4">
        <w:rPr>
          <w:rFonts w:ascii="Times New Roman" w:hAnsi="Times New Roman"/>
          <w:i/>
          <w:sz w:val="20"/>
          <w:szCs w:val="20"/>
        </w:rPr>
        <w:t xml:space="preserve">de a </w:t>
      </w:r>
      <w:r w:rsidRPr="00972BE4">
        <w:rPr>
          <w:rFonts w:ascii="Times New Roman" w:hAnsi="Times New Roman"/>
          <w:i/>
          <w:sz w:val="20"/>
          <w:szCs w:val="20"/>
        </w:rPr>
        <w:t xml:space="preserve">aplica politica monetară, valutară și de credit, reglementând și supraveghind prudențial sistemul financiar-bancar și sistemul de plăți, având drept obiectiv final asigurarea și menținerea stabilității prețurilor și stabilității financiare. Prin realizarea acestei lucrări se încearcă abordarea unei teme de actualitate și </w:t>
      </w:r>
      <w:r w:rsidR="00556D54" w:rsidRPr="00972BE4">
        <w:rPr>
          <w:rFonts w:ascii="Times New Roman" w:hAnsi="Times New Roman"/>
          <w:i/>
          <w:sz w:val="20"/>
          <w:szCs w:val="20"/>
        </w:rPr>
        <w:t xml:space="preserve">de </w:t>
      </w:r>
      <w:r w:rsidRPr="00972BE4">
        <w:rPr>
          <w:rFonts w:ascii="Times New Roman" w:hAnsi="Times New Roman"/>
          <w:i/>
          <w:sz w:val="20"/>
          <w:szCs w:val="20"/>
        </w:rPr>
        <w:t xml:space="preserve">interes științific din domeniul financiar-monetar, și anume rolul Băncii Naționale a României în asigurarea macrostabilității și prudențialității bancare. Scopul cercetării de față </w:t>
      </w:r>
      <w:r w:rsidR="00556D54" w:rsidRPr="00972BE4">
        <w:rPr>
          <w:rFonts w:ascii="Times New Roman" w:hAnsi="Times New Roman"/>
          <w:i/>
          <w:sz w:val="20"/>
          <w:szCs w:val="20"/>
        </w:rPr>
        <w:t>constă în</w:t>
      </w:r>
      <w:r w:rsidRPr="00972BE4">
        <w:rPr>
          <w:rFonts w:ascii="Times New Roman" w:hAnsi="Times New Roman"/>
          <w:i/>
          <w:sz w:val="20"/>
          <w:szCs w:val="20"/>
        </w:rPr>
        <w:t xml:space="preserve"> realizarea unei analize calitative a politicilor și măsurilor implementate de BNR, ca bancă centrală și mai cu seamă ca autoritate de supraveghere prudențială, în contextul </w:t>
      </w:r>
      <w:r w:rsidR="006F3353" w:rsidRPr="00972BE4">
        <w:rPr>
          <w:rFonts w:ascii="Times New Roman" w:hAnsi="Times New Roman"/>
          <w:i/>
          <w:sz w:val="20"/>
          <w:szCs w:val="20"/>
        </w:rPr>
        <w:t>economic actual</w:t>
      </w:r>
      <w:r w:rsidRPr="00972BE4">
        <w:rPr>
          <w:rFonts w:ascii="Times New Roman" w:hAnsi="Times New Roman"/>
          <w:i/>
          <w:sz w:val="20"/>
          <w:szCs w:val="20"/>
        </w:rPr>
        <w:t>.</w:t>
      </w:r>
    </w:p>
    <w:p w:rsidR="004A5D27" w:rsidRDefault="004A5D27" w:rsidP="00BB163A">
      <w:pPr>
        <w:pStyle w:val="Heading1"/>
        <w:spacing w:before="0" w:beforeAutospacing="0" w:after="0" w:afterAutospacing="0"/>
        <w:rPr>
          <w:szCs w:val="24"/>
        </w:rPr>
      </w:pPr>
    </w:p>
    <w:p w:rsidR="009852B4" w:rsidRPr="003D2A4C" w:rsidRDefault="009852B4" w:rsidP="009852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3D2A4C">
        <w:rPr>
          <w:rFonts w:ascii="Times New Roman" w:hAnsi="Times New Roman"/>
          <w:b/>
          <w:sz w:val="20"/>
          <w:szCs w:val="20"/>
        </w:rPr>
        <w:t>Key words</w:t>
      </w:r>
      <w:r w:rsidRPr="003D2A4C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Banca Naţională a României, macrostabilitate, prudenţialitate, politici şi măsuri, sistem bancar</w:t>
      </w:r>
    </w:p>
    <w:p w:rsidR="009852B4" w:rsidRDefault="009852B4" w:rsidP="00BB163A">
      <w:pPr>
        <w:pStyle w:val="Heading1"/>
        <w:spacing w:before="0" w:beforeAutospacing="0" w:after="0" w:afterAutospacing="0"/>
        <w:rPr>
          <w:szCs w:val="24"/>
        </w:rPr>
      </w:pPr>
    </w:p>
    <w:p w:rsidR="009852B4" w:rsidRPr="003D2A4C" w:rsidRDefault="009852B4" w:rsidP="009852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3D2A4C">
        <w:rPr>
          <w:rFonts w:ascii="Times New Roman" w:hAnsi="Times New Roman"/>
          <w:b/>
          <w:sz w:val="20"/>
          <w:szCs w:val="20"/>
        </w:rPr>
        <w:t>JEL classification:</w:t>
      </w:r>
      <w:r w:rsidR="00E20592">
        <w:rPr>
          <w:rFonts w:ascii="Times New Roman" w:hAnsi="Times New Roman"/>
          <w:b/>
          <w:sz w:val="20"/>
          <w:szCs w:val="20"/>
        </w:rPr>
        <w:t xml:space="preserve"> </w:t>
      </w:r>
      <w:r w:rsidR="00E20592" w:rsidRPr="003D2A4C">
        <w:rPr>
          <w:rFonts w:ascii="Times New Roman" w:hAnsi="Times New Roman"/>
          <w:sz w:val="20"/>
          <w:szCs w:val="20"/>
        </w:rPr>
        <w:t>E58,</w:t>
      </w:r>
      <w:r w:rsidR="00E20592">
        <w:rPr>
          <w:rFonts w:ascii="Times New Roman" w:hAnsi="Times New Roman"/>
          <w:b/>
          <w:sz w:val="20"/>
          <w:szCs w:val="20"/>
        </w:rPr>
        <w:t xml:space="preserve"> </w:t>
      </w:r>
      <w:r w:rsidR="00E20592">
        <w:rPr>
          <w:rFonts w:ascii="Times New Roman" w:hAnsi="Times New Roman"/>
          <w:sz w:val="20"/>
          <w:szCs w:val="20"/>
        </w:rPr>
        <w:t>G21</w:t>
      </w:r>
    </w:p>
    <w:p w:rsidR="009852B4" w:rsidRDefault="009852B4" w:rsidP="00BB163A">
      <w:pPr>
        <w:pStyle w:val="Heading1"/>
        <w:spacing w:before="0" w:beforeAutospacing="0" w:after="0" w:afterAutospacing="0"/>
        <w:rPr>
          <w:szCs w:val="24"/>
        </w:rPr>
      </w:pPr>
    </w:p>
    <w:p w:rsidR="00610456" w:rsidRPr="002F5C4C" w:rsidRDefault="00610456" w:rsidP="00BB163A">
      <w:pPr>
        <w:pStyle w:val="Heading1"/>
        <w:spacing w:before="0" w:beforeAutospacing="0" w:after="0" w:afterAutospacing="0"/>
        <w:rPr>
          <w:szCs w:val="24"/>
        </w:rPr>
      </w:pPr>
    </w:p>
    <w:p w:rsidR="00A561DA" w:rsidRDefault="00AA3CCC" w:rsidP="00610456">
      <w:pPr>
        <w:pStyle w:val="Heading1"/>
        <w:numPr>
          <w:ilvl w:val="0"/>
          <w:numId w:val="31"/>
        </w:numPr>
        <w:spacing w:before="0" w:beforeAutospacing="0" w:after="0" w:afterAutospacing="0"/>
        <w:ind w:left="993" w:hanging="284"/>
        <w:rPr>
          <w:szCs w:val="24"/>
        </w:rPr>
      </w:pPr>
      <w:r w:rsidRPr="002F5C4C">
        <w:rPr>
          <w:szCs w:val="24"/>
        </w:rPr>
        <w:t>I</w:t>
      </w:r>
      <w:bookmarkEnd w:id="0"/>
      <w:r w:rsidR="00D915D5" w:rsidRPr="002F5C4C">
        <w:rPr>
          <w:szCs w:val="24"/>
        </w:rPr>
        <w:t>NTRODUCERE</w:t>
      </w:r>
    </w:p>
    <w:p w:rsidR="00610456" w:rsidRPr="002F5C4C" w:rsidRDefault="00610456" w:rsidP="00610456">
      <w:pPr>
        <w:pStyle w:val="Heading1"/>
        <w:spacing w:before="0" w:beforeAutospacing="0" w:after="0" w:afterAutospacing="0"/>
        <w:ind w:left="993"/>
        <w:rPr>
          <w:szCs w:val="24"/>
        </w:rPr>
      </w:pPr>
    </w:p>
    <w:p w:rsidR="00686740" w:rsidRPr="002F5C4C" w:rsidRDefault="00686740" w:rsidP="00F52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 xml:space="preserve">Cercetarea rolului </w:t>
      </w:r>
      <w:r w:rsidR="0093031D" w:rsidRPr="002F5C4C">
        <w:rPr>
          <w:rFonts w:ascii="Times New Roman" w:hAnsi="Times New Roman"/>
          <w:sz w:val="24"/>
          <w:szCs w:val="24"/>
        </w:rPr>
        <w:t>băncii centrale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9C4AF2" w:rsidRPr="002F5C4C">
        <w:rPr>
          <w:rFonts w:ascii="Times New Roman" w:hAnsi="Times New Roman"/>
          <w:sz w:val="24"/>
          <w:szCs w:val="24"/>
        </w:rPr>
        <w:t>deţine</w:t>
      </w:r>
      <w:r w:rsidRPr="002F5C4C">
        <w:rPr>
          <w:rFonts w:ascii="Times New Roman" w:hAnsi="Times New Roman"/>
          <w:sz w:val="24"/>
          <w:szCs w:val="24"/>
        </w:rPr>
        <w:t xml:space="preserve"> un loc </w:t>
      </w:r>
      <w:r w:rsidR="009C4AF2" w:rsidRPr="002F5C4C">
        <w:rPr>
          <w:rFonts w:ascii="Times New Roman" w:hAnsi="Times New Roman"/>
          <w:sz w:val="24"/>
          <w:szCs w:val="24"/>
        </w:rPr>
        <w:t xml:space="preserve">însemnat </w:t>
      </w:r>
      <w:r w:rsidRPr="002F5C4C">
        <w:rPr>
          <w:rFonts w:ascii="Times New Roman" w:hAnsi="Times New Roman"/>
          <w:sz w:val="24"/>
          <w:szCs w:val="24"/>
        </w:rPr>
        <w:t xml:space="preserve">în numeroase </w:t>
      </w:r>
      <w:r w:rsidR="009C4AF2" w:rsidRPr="002F5C4C">
        <w:rPr>
          <w:rFonts w:ascii="Times New Roman" w:hAnsi="Times New Roman"/>
          <w:sz w:val="24"/>
          <w:szCs w:val="24"/>
        </w:rPr>
        <w:t>studii</w:t>
      </w:r>
      <w:r w:rsidRPr="002F5C4C">
        <w:rPr>
          <w:rFonts w:ascii="Times New Roman" w:hAnsi="Times New Roman"/>
          <w:sz w:val="24"/>
          <w:szCs w:val="24"/>
        </w:rPr>
        <w:t xml:space="preserve"> economice, </w:t>
      </w:r>
      <w:r w:rsidR="009C4AF2" w:rsidRPr="002F5C4C">
        <w:rPr>
          <w:rFonts w:ascii="Times New Roman" w:hAnsi="Times New Roman"/>
          <w:sz w:val="24"/>
          <w:szCs w:val="24"/>
        </w:rPr>
        <w:t>îndeosebi</w:t>
      </w:r>
      <w:r w:rsidRPr="002F5C4C">
        <w:rPr>
          <w:rFonts w:ascii="Times New Roman" w:hAnsi="Times New Roman"/>
          <w:sz w:val="24"/>
          <w:szCs w:val="24"/>
        </w:rPr>
        <w:t xml:space="preserve"> în </w:t>
      </w:r>
      <w:r w:rsidR="009C4AF2" w:rsidRPr="002F5C4C">
        <w:rPr>
          <w:rFonts w:ascii="Times New Roman" w:hAnsi="Times New Roman"/>
          <w:sz w:val="24"/>
          <w:szCs w:val="24"/>
        </w:rPr>
        <w:t>analizele axate pe economiile</w:t>
      </w:r>
      <w:r w:rsidRPr="002F5C4C">
        <w:rPr>
          <w:rFonts w:ascii="Times New Roman" w:hAnsi="Times New Roman"/>
          <w:sz w:val="24"/>
          <w:szCs w:val="24"/>
        </w:rPr>
        <w:t xml:space="preserve"> emergente. </w:t>
      </w:r>
      <w:r w:rsidR="00556D54" w:rsidRPr="002F5C4C">
        <w:rPr>
          <w:rFonts w:ascii="Times New Roman" w:hAnsi="Times New Roman"/>
          <w:sz w:val="24"/>
          <w:szCs w:val="24"/>
        </w:rPr>
        <w:t>Studiul de faţă</w:t>
      </w:r>
      <w:r w:rsidRPr="002F5C4C">
        <w:rPr>
          <w:rFonts w:ascii="Times New Roman" w:hAnsi="Times New Roman"/>
          <w:i/>
          <w:sz w:val="24"/>
          <w:szCs w:val="24"/>
        </w:rPr>
        <w:t xml:space="preserve"> </w:t>
      </w:r>
      <w:r w:rsidRPr="002F5C4C">
        <w:rPr>
          <w:rFonts w:ascii="Times New Roman" w:hAnsi="Times New Roman"/>
          <w:sz w:val="24"/>
          <w:szCs w:val="24"/>
        </w:rPr>
        <w:t xml:space="preserve">realizează o sinteză într-o viziune proprie, având ca punct de plecare cercetările anterioare </w:t>
      </w:r>
      <w:r w:rsidR="009C4AF2" w:rsidRPr="002F5C4C">
        <w:rPr>
          <w:rFonts w:ascii="Times New Roman" w:hAnsi="Times New Roman"/>
          <w:sz w:val="24"/>
          <w:szCs w:val="24"/>
        </w:rPr>
        <w:t>înfăptuite</w:t>
      </w:r>
      <w:r w:rsidRPr="002F5C4C">
        <w:rPr>
          <w:rFonts w:ascii="Times New Roman" w:hAnsi="Times New Roman"/>
          <w:sz w:val="24"/>
          <w:szCs w:val="24"/>
        </w:rPr>
        <w:t xml:space="preserve"> de academicieni și de </w:t>
      </w:r>
      <w:r w:rsidR="009C4AF2" w:rsidRPr="002F5C4C">
        <w:rPr>
          <w:rFonts w:ascii="Times New Roman" w:hAnsi="Times New Roman"/>
          <w:sz w:val="24"/>
          <w:szCs w:val="24"/>
        </w:rPr>
        <w:t>economişti</w:t>
      </w:r>
      <w:r w:rsidRPr="002F5C4C">
        <w:rPr>
          <w:rFonts w:ascii="Times New Roman" w:hAnsi="Times New Roman"/>
          <w:sz w:val="24"/>
          <w:szCs w:val="24"/>
        </w:rPr>
        <w:t xml:space="preserve">, care </w:t>
      </w:r>
      <w:r w:rsidR="009C4AF2" w:rsidRPr="002F5C4C">
        <w:rPr>
          <w:rFonts w:ascii="Times New Roman" w:hAnsi="Times New Roman"/>
          <w:sz w:val="24"/>
          <w:szCs w:val="24"/>
        </w:rPr>
        <w:t>oferă</w:t>
      </w:r>
      <w:r w:rsidRPr="002F5C4C">
        <w:rPr>
          <w:rFonts w:ascii="Times New Roman" w:hAnsi="Times New Roman"/>
          <w:sz w:val="24"/>
          <w:szCs w:val="24"/>
        </w:rPr>
        <w:t xml:space="preserve"> un volum </w:t>
      </w:r>
      <w:r w:rsidR="009C4AF2" w:rsidRPr="002F5C4C">
        <w:rPr>
          <w:rFonts w:ascii="Times New Roman" w:hAnsi="Times New Roman"/>
          <w:sz w:val="24"/>
          <w:szCs w:val="24"/>
        </w:rPr>
        <w:t>însemnat</w:t>
      </w:r>
      <w:r w:rsidRPr="002F5C4C">
        <w:rPr>
          <w:rFonts w:ascii="Times New Roman" w:hAnsi="Times New Roman"/>
          <w:sz w:val="24"/>
          <w:szCs w:val="24"/>
        </w:rPr>
        <w:t xml:space="preserve"> de informații, </w:t>
      </w:r>
      <w:r w:rsidR="0093031D" w:rsidRPr="002F5C4C">
        <w:rPr>
          <w:rFonts w:ascii="Times New Roman" w:hAnsi="Times New Roman"/>
          <w:sz w:val="24"/>
          <w:szCs w:val="24"/>
        </w:rPr>
        <w:t>câteodată</w:t>
      </w:r>
      <w:r w:rsidRPr="002F5C4C">
        <w:rPr>
          <w:rFonts w:ascii="Times New Roman" w:hAnsi="Times New Roman"/>
          <w:sz w:val="24"/>
          <w:szCs w:val="24"/>
        </w:rPr>
        <w:t xml:space="preserve"> contradictorii, urmărind îm</w:t>
      </w:r>
      <w:r w:rsidR="0093031D" w:rsidRPr="002F5C4C">
        <w:rPr>
          <w:rFonts w:ascii="Times New Roman" w:hAnsi="Times New Roman"/>
          <w:sz w:val="24"/>
          <w:szCs w:val="24"/>
        </w:rPr>
        <w:t>pletirea</w:t>
      </w:r>
      <w:r w:rsidRPr="002F5C4C">
        <w:rPr>
          <w:rFonts w:ascii="Times New Roman" w:hAnsi="Times New Roman"/>
          <w:sz w:val="24"/>
          <w:szCs w:val="24"/>
        </w:rPr>
        <w:t xml:space="preserve"> analizei teoretice cu datele reale din </w:t>
      </w:r>
      <w:r w:rsidR="0093031D" w:rsidRPr="002F5C4C">
        <w:rPr>
          <w:rFonts w:ascii="Times New Roman" w:hAnsi="Times New Roman"/>
          <w:sz w:val="24"/>
          <w:szCs w:val="24"/>
        </w:rPr>
        <w:t xml:space="preserve">evoluția </w:t>
      </w:r>
      <w:r w:rsidRPr="002F5C4C">
        <w:rPr>
          <w:rFonts w:ascii="Times New Roman" w:hAnsi="Times New Roman"/>
          <w:sz w:val="24"/>
          <w:szCs w:val="24"/>
        </w:rPr>
        <w:t>sistemul</w:t>
      </w:r>
      <w:r w:rsidR="0093031D" w:rsidRPr="002F5C4C">
        <w:rPr>
          <w:rFonts w:ascii="Times New Roman" w:hAnsi="Times New Roman"/>
          <w:sz w:val="24"/>
          <w:szCs w:val="24"/>
        </w:rPr>
        <w:t>ui</w:t>
      </w:r>
      <w:r w:rsidRPr="002F5C4C">
        <w:rPr>
          <w:rFonts w:ascii="Times New Roman" w:hAnsi="Times New Roman"/>
          <w:sz w:val="24"/>
          <w:szCs w:val="24"/>
        </w:rPr>
        <w:t xml:space="preserve"> bancar românesc. </w:t>
      </w:r>
    </w:p>
    <w:p w:rsidR="006F3353" w:rsidRPr="002F5C4C" w:rsidRDefault="00686740" w:rsidP="0055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ab/>
      </w:r>
      <w:r w:rsidR="0093031D" w:rsidRPr="002F5C4C">
        <w:rPr>
          <w:rFonts w:ascii="Times New Roman" w:hAnsi="Times New Roman"/>
          <w:sz w:val="24"/>
          <w:szCs w:val="24"/>
        </w:rPr>
        <w:t>Dezechilibrele</w:t>
      </w:r>
      <w:r w:rsidR="006F3353" w:rsidRPr="002F5C4C">
        <w:rPr>
          <w:rFonts w:ascii="Times New Roman" w:hAnsi="Times New Roman"/>
          <w:sz w:val="24"/>
          <w:szCs w:val="24"/>
        </w:rPr>
        <w:t xml:space="preserve"> economico-financiare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556D54" w:rsidRPr="002F5C4C">
        <w:rPr>
          <w:rFonts w:ascii="Times New Roman" w:hAnsi="Times New Roman"/>
          <w:sz w:val="24"/>
          <w:szCs w:val="24"/>
        </w:rPr>
        <w:t xml:space="preserve">din ultimul deceniu </w:t>
      </w:r>
      <w:r w:rsidRPr="002F5C4C">
        <w:rPr>
          <w:rFonts w:ascii="Times New Roman" w:hAnsi="Times New Roman"/>
          <w:sz w:val="24"/>
          <w:szCs w:val="24"/>
        </w:rPr>
        <w:t xml:space="preserve">au </w:t>
      </w:r>
      <w:r w:rsidR="0093031D" w:rsidRPr="002F5C4C">
        <w:rPr>
          <w:rFonts w:ascii="Times New Roman" w:hAnsi="Times New Roman"/>
          <w:sz w:val="24"/>
          <w:szCs w:val="24"/>
        </w:rPr>
        <w:t>stârnit</w:t>
      </w:r>
      <w:r w:rsidRPr="002F5C4C">
        <w:rPr>
          <w:rFonts w:ascii="Times New Roman" w:hAnsi="Times New Roman"/>
          <w:sz w:val="24"/>
          <w:szCs w:val="24"/>
        </w:rPr>
        <w:t xml:space="preserve"> numeroase dezbateri și critici </w:t>
      </w:r>
      <w:r w:rsidR="0093031D" w:rsidRPr="002F5C4C">
        <w:rPr>
          <w:rFonts w:ascii="Times New Roman" w:hAnsi="Times New Roman"/>
          <w:sz w:val="24"/>
          <w:szCs w:val="24"/>
        </w:rPr>
        <w:t>legate de</w:t>
      </w:r>
      <w:r w:rsidRPr="002F5C4C">
        <w:rPr>
          <w:rFonts w:ascii="Times New Roman" w:hAnsi="Times New Roman"/>
          <w:sz w:val="24"/>
          <w:szCs w:val="24"/>
        </w:rPr>
        <w:t xml:space="preserve"> poziția </w:t>
      </w:r>
      <w:r w:rsidR="0093031D" w:rsidRPr="002F5C4C">
        <w:rPr>
          <w:rFonts w:ascii="Times New Roman" w:hAnsi="Times New Roman"/>
          <w:sz w:val="24"/>
          <w:szCs w:val="24"/>
        </w:rPr>
        <w:t>autorității monetare</w:t>
      </w:r>
      <w:r w:rsidRPr="002F5C4C">
        <w:rPr>
          <w:rFonts w:ascii="Times New Roman" w:hAnsi="Times New Roman"/>
          <w:sz w:val="24"/>
          <w:szCs w:val="24"/>
        </w:rPr>
        <w:t>, contestându-se acest statut</w:t>
      </w:r>
      <w:r w:rsidR="0093031D" w:rsidRPr="002F5C4C">
        <w:rPr>
          <w:rFonts w:ascii="Times New Roman" w:hAnsi="Times New Roman"/>
          <w:sz w:val="24"/>
          <w:szCs w:val="24"/>
        </w:rPr>
        <w:t>,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93031D" w:rsidRPr="002F5C4C">
        <w:rPr>
          <w:rFonts w:ascii="Times New Roman" w:hAnsi="Times New Roman"/>
          <w:sz w:val="24"/>
          <w:szCs w:val="24"/>
        </w:rPr>
        <w:t>suger</w:t>
      </w:r>
      <w:r w:rsidRPr="002F5C4C">
        <w:rPr>
          <w:rFonts w:ascii="Times New Roman" w:hAnsi="Times New Roman"/>
          <w:sz w:val="24"/>
          <w:szCs w:val="24"/>
        </w:rPr>
        <w:t>ându-se</w:t>
      </w:r>
      <w:r w:rsidR="0093031D" w:rsidRPr="002F5C4C">
        <w:rPr>
          <w:rFonts w:ascii="Times New Roman" w:hAnsi="Times New Roman"/>
          <w:sz w:val="24"/>
          <w:szCs w:val="24"/>
        </w:rPr>
        <w:t xml:space="preserve"> chiar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93031D" w:rsidRPr="002F5C4C">
        <w:rPr>
          <w:rFonts w:ascii="Times New Roman" w:hAnsi="Times New Roman"/>
          <w:sz w:val="24"/>
          <w:szCs w:val="24"/>
        </w:rPr>
        <w:t>suprimarea băncii centrale</w:t>
      </w:r>
      <w:r w:rsidRPr="002F5C4C">
        <w:rPr>
          <w:rFonts w:ascii="Times New Roman" w:hAnsi="Times New Roman"/>
          <w:sz w:val="24"/>
          <w:szCs w:val="24"/>
        </w:rPr>
        <w:t xml:space="preserve">. În contextul economic actual, </w:t>
      </w:r>
      <w:r w:rsidR="001941A8" w:rsidRPr="002F5C4C">
        <w:rPr>
          <w:rFonts w:ascii="Times New Roman" w:hAnsi="Times New Roman"/>
          <w:sz w:val="24"/>
          <w:szCs w:val="24"/>
        </w:rPr>
        <w:t>se regăsesc</w:t>
      </w:r>
      <w:r w:rsidRPr="002F5C4C">
        <w:rPr>
          <w:rFonts w:ascii="Times New Roman" w:hAnsi="Times New Roman"/>
          <w:sz w:val="24"/>
          <w:szCs w:val="24"/>
        </w:rPr>
        <w:t xml:space="preserve"> numeroase motive care </w:t>
      </w:r>
      <w:r w:rsidR="001941A8" w:rsidRPr="002F5C4C">
        <w:rPr>
          <w:rFonts w:ascii="Times New Roman" w:hAnsi="Times New Roman"/>
          <w:sz w:val="24"/>
          <w:szCs w:val="24"/>
        </w:rPr>
        <w:t>sprijină</w:t>
      </w:r>
      <w:r w:rsidRPr="002F5C4C">
        <w:rPr>
          <w:rFonts w:ascii="Times New Roman" w:hAnsi="Times New Roman"/>
          <w:sz w:val="24"/>
          <w:szCs w:val="24"/>
        </w:rPr>
        <w:t xml:space="preserve"> statutul de independență al băncii centrale, având în vedere faptul că aceasta </w:t>
      </w:r>
      <w:r w:rsidR="001941A8" w:rsidRPr="002F5C4C">
        <w:rPr>
          <w:rFonts w:ascii="Times New Roman" w:hAnsi="Times New Roman"/>
          <w:sz w:val="24"/>
          <w:szCs w:val="24"/>
        </w:rPr>
        <w:t>simbolizează</w:t>
      </w:r>
      <w:r w:rsidRPr="002F5C4C">
        <w:rPr>
          <w:rFonts w:ascii="Times New Roman" w:hAnsi="Times New Roman"/>
          <w:sz w:val="24"/>
          <w:szCs w:val="24"/>
        </w:rPr>
        <w:t xml:space="preserve"> un mijloc</w:t>
      </w:r>
      <w:r w:rsidR="00936E04" w:rsidRPr="002F5C4C">
        <w:rPr>
          <w:rFonts w:ascii="Times New Roman" w:hAnsi="Times New Roman"/>
          <w:sz w:val="24"/>
          <w:szCs w:val="24"/>
        </w:rPr>
        <w:t xml:space="preserve"> însemnat</w:t>
      </w:r>
      <w:r w:rsidRPr="002F5C4C">
        <w:rPr>
          <w:rFonts w:ascii="Times New Roman" w:hAnsi="Times New Roman"/>
          <w:sz w:val="24"/>
          <w:szCs w:val="24"/>
        </w:rPr>
        <w:t xml:space="preserve"> de siguranță împotr</w:t>
      </w:r>
      <w:r w:rsidR="00936E04" w:rsidRPr="002F5C4C">
        <w:rPr>
          <w:rFonts w:ascii="Times New Roman" w:hAnsi="Times New Roman"/>
          <w:sz w:val="24"/>
          <w:szCs w:val="24"/>
        </w:rPr>
        <w:t>iva derapajelor inflaționiste, îndeosebi</w:t>
      </w:r>
      <w:r w:rsidRPr="002F5C4C">
        <w:rPr>
          <w:rFonts w:ascii="Times New Roman" w:hAnsi="Times New Roman"/>
          <w:sz w:val="24"/>
          <w:szCs w:val="24"/>
        </w:rPr>
        <w:t xml:space="preserve"> atunci când acest fenomen </w:t>
      </w:r>
      <w:r w:rsidR="00936E04" w:rsidRPr="002F5C4C">
        <w:rPr>
          <w:rFonts w:ascii="Times New Roman" w:hAnsi="Times New Roman"/>
          <w:sz w:val="24"/>
          <w:szCs w:val="24"/>
        </w:rPr>
        <w:t>are loc în acelaşi timp</w:t>
      </w:r>
      <w:r w:rsidRPr="002F5C4C">
        <w:rPr>
          <w:rFonts w:ascii="Times New Roman" w:hAnsi="Times New Roman"/>
          <w:sz w:val="24"/>
          <w:szCs w:val="24"/>
        </w:rPr>
        <w:t xml:space="preserve"> și cu alte dezechilibre care au </w:t>
      </w:r>
      <w:r w:rsidR="00936E04" w:rsidRPr="002F5C4C">
        <w:rPr>
          <w:rFonts w:ascii="Times New Roman" w:hAnsi="Times New Roman"/>
          <w:sz w:val="24"/>
          <w:szCs w:val="24"/>
        </w:rPr>
        <w:t>efecte</w:t>
      </w:r>
      <w:r w:rsidRPr="002F5C4C">
        <w:rPr>
          <w:rFonts w:ascii="Times New Roman" w:hAnsi="Times New Roman"/>
          <w:sz w:val="24"/>
          <w:szCs w:val="24"/>
        </w:rPr>
        <w:t xml:space="preserve"> macroeconomice </w:t>
      </w:r>
      <w:r w:rsidR="00936E04" w:rsidRPr="002F5C4C">
        <w:rPr>
          <w:rFonts w:ascii="Times New Roman" w:hAnsi="Times New Roman"/>
          <w:sz w:val="24"/>
          <w:szCs w:val="24"/>
        </w:rPr>
        <w:t>aspre</w:t>
      </w:r>
      <w:r w:rsidRPr="002F5C4C">
        <w:rPr>
          <w:rFonts w:ascii="Times New Roman" w:hAnsi="Times New Roman"/>
          <w:sz w:val="24"/>
          <w:szCs w:val="24"/>
        </w:rPr>
        <w:t xml:space="preserve">. </w:t>
      </w:r>
    </w:p>
    <w:p w:rsidR="00F52A07" w:rsidRPr="002F5C4C" w:rsidRDefault="00F52A07" w:rsidP="00F52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 xml:space="preserve">Prin realizarea lucrării de față s-a urmărit evidențierea rolului Băncii Naționale a României în menținerea </w:t>
      </w:r>
      <w:r w:rsidR="00DF31B5" w:rsidRPr="002F5C4C">
        <w:rPr>
          <w:rFonts w:ascii="Times New Roman" w:hAnsi="Times New Roman"/>
          <w:sz w:val="24"/>
          <w:szCs w:val="24"/>
        </w:rPr>
        <w:t>rezistenţei</w:t>
      </w:r>
      <w:r w:rsidRPr="002F5C4C">
        <w:rPr>
          <w:rFonts w:ascii="Times New Roman" w:hAnsi="Times New Roman"/>
          <w:sz w:val="24"/>
          <w:szCs w:val="24"/>
        </w:rPr>
        <w:t xml:space="preserve"> și eficienței sistemului bancar, și implicit </w:t>
      </w:r>
      <w:r w:rsidR="00DF31B5" w:rsidRPr="002F5C4C">
        <w:rPr>
          <w:rFonts w:ascii="Times New Roman" w:hAnsi="Times New Roman"/>
          <w:sz w:val="24"/>
          <w:szCs w:val="24"/>
        </w:rPr>
        <w:t>întregului sistemul</w:t>
      </w:r>
      <w:r w:rsidRPr="002F5C4C">
        <w:rPr>
          <w:rFonts w:ascii="Times New Roman" w:hAnsi="Times New Roman"/>
          <w:sz w:val="24"/>
          <w:szCs w:val="24"/>
        </w:rPr>
        <w:t xml:space="preserve"> economic.</w:t>
      </w:r>
    </w:p>
    <w:p w:rsidR="00F52A07" w:rsidRPr="002F5C4C" w:rsidRDefault="00F52A07" w:rsidP="00F52A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Restul lucrării este organizat după cum urmează: secţiunea 2 cuprinde o scurtă descriere a literaturii de specialitate; secţiunea 3 </w:t>
      </w:r>
      <w:r w:rsidR="00A307D4" w:rsidRPr="002F5C4C">
        <w:rPr>
          <w:rFonts w:ascii="Times New Roman" w:hAnsi="Times New Roman"/>
          <w:sz w:val="24"/>
          <w:szCs w:val="24"/>
          <w:lang w:val="ro-RO"/>
        </w:rPr>
        <w:t xml:space="preserve">prezintă </w:t>
      </w:r>
      <w:r w:rsidRPr="002F5C4C">
        <w:rPr>
          <w:rFonts w:ascii="Times New Roman" w:hAnsi="Times New Roman"/>
          <w:sz w:val="24"/>
          <w:szCs w:val="24"/>
          <w:lang w:val="ro-RO"/>
        </w:rPr>
        <w:t>intervenţia BNR prin poli</w:t>
      </w:r>
      <w:r w:rsidR="00A307D4" w:rsidRPr="002F5C4C">
        <w:rPr>
          <w:rFonts w:ascii="Times New Roman" w:hAnsi="Times New Roman"/>
          <w:sz w:val="24"/>
          <w:szCs w:val="24"/>
          <w:lang w:val="ro-RO"/>
        </w:rPr>
        <w:t>tici monetare în vederea asigu</w:t>
      </w:r>
      <w:r w:rsidRPr="002F5C4C">
        <w:rPr>
          <w:rFonts w:ascii="Times New Roman" w:hAnsi="Times New Roman"/>
          <w:sz w:val="24"/>
          <w:szCs w:val="24"/>
          <w:lang w:val="ro-RO"/>
        </w:rPr>
        <w:t>rării macrostabilităţii financiare; secţiunea 4</w:t>
      </w:r>
      <w:r w:rsidR="00A307D4" w:rsidRPr="002F5C4C">
        <w:rPr>
          <w:rFonts w:ascii="Times New Roman" w:hAnsi="Times New Roman"/>
          <w:sz w:val="24"/>
          <w:szCs w:val="24"/>
          <w:lang w:val="ro-RO"/>
        </w:rPr>
        <w:t xml:space="preserve"> descrie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07D4" w:rsidRPr="002F5C4C">
        <w:rPr>
          <w:rFonts w:ascii="Times New Roman" w:hAnsi="Times New Roman"/>
          <w:sz w:val="24"/>
          <w:szCs w:val="24"/>
          <w:lang w:val="ro-RO"/>
        </w:rPr>
        <w:t>politica BNR privind asigurarea prudenţialităţii în activitatea bancară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, în timp ce secţiunea 5 conchide, </w:t>
      </w:r>
      <w:r w:rsidR="00A307D4" w:rsidRPr="002F5C4C">
        <w:rPr>
          <w:rFonts w:ascii="Times New Roman" w:hAnsi="Times New Roman"/>
          <w:sz w:val="24"/>
          <w:szCs w:val="24"/>
          <w:lang w:val="ro-RO"/>
        </w:rPr>
        <w:t>prin punctarea principalelor aspecte pe care le surprinde studiul de faţă</w:t>
      </w:r>
      <w:r w:rsidRPr="002F5C4C">
        <w:rPr>
          <w:rFonts w:ascii="Times New Roman" w:hAnsi="Times New Roman"/>
          <w:sz w:val="24"/>
          <w:szCs w:val="24"/>
          <w:lang w:val="ro-RO"/>
        </w:rPr>
        <w:t>.</w:t>
      </w:r>
    </w:p>
    <w:p w:rsidR="00556D54" w:rsidRPr="002F5C4C" w:rsidRDefault="00556D54" w:rsidP="0055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C2425" w:rsidRDefault="009C2425" w:rsidP="00610456">
      <w:pPr>
        <w:pStyle w:val="Heading1"/>
        <w:numPr>
          <w:ilvl w:val="0"/>
          <w:numId w:val="31"/>
        </w:numPr>
        <w:spacing w:before="0" w:beforeAutospacing="0" w:after="0" w:afterAutospacing="0"/>
        <w:ind w:left="993" w:hanging="284"/>
        <w:rPr>
          <w:szCs w:val="24"/>
        </w:rPr>
      </w:pPr>
      <w:r w:rsidRPr="002F5C4C">
        <w:rPr>
          <w:szCs w:val="24"/>
        </w:rPr>
        <w:t>LITERATURE REVIEW</w:t>
      </w:r>
    </w:p>
    <w:p w:rsidR="00610456" w:rsidRPr="002F5C4C" w:rsidRDefault="00610456" w:rsidP="00610456">
      <w:pPr>
        <w:pStyle w:val="Heading1"/>
        <w:spacing w:before="0" w:beforeAutospacing="0" w:after="0" w:afterAutospacing="0"/>
        <w:ind w:left="993"/>
        <w:rPr>
          <w:szCs w:val="24"/>
        </w:rPr>
      </w:pPr>
    </w:p>
    <w:p w:rsidR="00D915D5" w:rsidRPr="002F5C4C" w:rsidRDefault="00D915D5" w:rsidP="00BB16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Numeroase studii din literatura de specialitate evidențiază rolul intrinsec al Băncii Naționale a României în asigurarea macrostabilității și prudențialității bancare, date fiind </w:t>
      </w:r>
      <w:r w:rsidR="00D612F2" w:rsidRPr="002F5C4C">
        <w:rPr>
          <w:rFonts w:ascii="Times New Roman" w:hAnsi="Times New Roman"/>
          <w:sz w:val="24"/>
          <w:szCs w:val="24"/>
          <w:lang w:val="ro-RO"/>
        </w:rPr>
        <w:t>obligaţiile rezultate din ipostaza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12F2" w:rsidRPr="002F5C4C">
        <w:rPr>
          <w:rFonts w:ascii="Times New Roman" w:hAnsi="Times New Roman"/>
          <w:sz w:val="24"/>
          <w:szCs w:val="24"/>
          <w:lang w:val="ro-RO"/>
        </w:rPr>
        <w:t xml:space="preserve">sa dublă 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de autoritate monetară şi prudenţială. </w:t>
      </w:r>
    </w:p>
    <w:p w:rsidR="00D915D5" w:rsidRPr="002F5C4C" w:rsidRDefault="00D915D5" w:rsidP="00BB16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Conform statutului BNR, obiectivul fundamental al </w:t>
      </w:r>
      <w:r w:rsidR="00D612F2" w:rsidRPr="002F5C4C">
        <w:rPr>
          <w:rFonts w:ascii="Times New Roman" w:hAnsi="Times New Roman"/>
          <w:sz w:val="24"/>
          <w:szCs w:val="24"/>
          <w:lang w:val="ro-RO"/>
        </w:rPr>
        <w:t>autorităţii monetare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îl </w:t>
      </w:r>
      <w:r w:rsidR="00D612F2" w:rsidRPr="002F5C4C">
        <w:rPr>
          <w:rFonts w:ascii="Times New Roman" w:hAnsi="Times New Roman"/>
          <w:sz w:val="24"/>
          <w:szCs w:val="24"/>
          <w:lang w:val="ro-RO"/>
        </w:rPr>
        <w:t>reprezintă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asigurarea și menținerea stabili</w:t>
      </w:r>
      <w:r w:rsidR="00D612F2" w:rsidRPr="002F5C4C">
        <w:rPr>
          <w:rFonts w:ascii="Times New Roman" w:hAnsi="Times New Roman"/>
          <w:sz w:val="24"/>
          <w:szCs w:val="24"/>
          <w:lang w:val="ro-RO"/>
        </w:rPr>
        <w:t>tății prețurilor, iar atribuţia centrală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12F2" w:rsidRPr="002F5C4C">
        <w:rPr>
          <w:rFonts w:ascii="Times New Roman" w:hAnsi="Times New Roman"/>
          <w:sz w:val="24"/>
          <w:szCs w:val="24"/>
          <w:lang w:val="ro-RO"/>
        </w:rPr>
        <w:t>constă în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elaborarea şi aplicarea politicii monetare.</w:t>
      </w:r>
      <w:r w:rsidR="00A561DA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12F2" w:rsidRPr="002F5C4C">
        <w:rPr>
          <w:rFonts w:ascii="Times New Roman" w:hAnsi="Times New Roman"/>
          <w:sz w:val="24"/>
          <w:szCs w:val="24"/>
        </w:rPr>
        <w:t>L</w:t>
      </w:r>
      <w:r w:rsidRPr="002F5C4C">
        <w:rPr>
          <w:rFonts w:ascii="Times New Roman" w:hAnsi="Times New Roman"/>
          <w:sz w:val="24"/>
          <w:szCs w:val="24"/>
        </w:rPr>
        <w:t>i</w:t>
      </w:r>
      <w:r w:rsidR="00D612F2" w:rsidRPr="002F5C4C">
        <w:rPr>
          <w:rFonts w:ascii="Times New Roman" w:hAnsi="Times New Roman"/>
          <w:sz w:val="24"/>
          <w:szCs w:val="24"/>
        </w:rPr>
        <w:t>teratura de specialitate îmbinată cu</w:t>
      </w:r>
      <w:r w:rsidRPr="002F5C4C">
        <w:rPr>
          <w:rFonts w:ascii="Times New Roman" w:hAnsi="Times New Roman"/>
          <w:sz w:val="24"/>
          <w:szCs w:val="24"/>
        </w:rPr>
        <w:t xml:space="preserve"> practica </w:t>
      </w:r>
      <w:r w:rsidR="00D612F2" w:rsidRPr="002F5C4C">
        <w:rPr>
          <w:rFonts w:ascii="Times New Roman" w:hAnsi="Times New Roman"/>
          <w:sz w:val="24"/>
          <w:szCs w:val="24"/>
        </w:rPr>
        <w:t>dovedesc faptul</w:t>
      </w:r>
      <w:r w:rsidRPr="002F5C4C">
        <w:rPr>
          <w:rFonts w:ascii="Times New Roman" w:hAnsi="Times New Roman"/>
          <w:sz w:val="24"/>
          <w:szCs w:val="24"/>
        </w:rPr>
        <w:t xml:space="preserve"> că </w:t>
      </w:r>
      <w:r w:rsidR="00D612F2" w:rsidRPr="002F5C4C">
        <w:rPr>
          <w:rFonts w:ascii="Times New Roman" w:hAnsi="Times New Roman"/>
          <w:sz w:val="24"/>
          <w:szCs w:val="24"/>
        </w:rPr>
        <w:t>îndeplinirea</w:t>
      </w:r>
      <w:r w:rsidRPr="002F5C4C">
        <w:rPr>
          <w:rFonts w:ascii="Times New Roman" w:hAnsi="Times New Roman"/>
          <w:sz w:val="24"/>
          <w:szCs w:val="24"/>
        </w:rPr>
        <w:t xml:space="preserve"> obiectivului final al politicii monetare poate fi </w:t>
      </w:r>
      <w:r w:rsidR="00D612F2" w:rsidRPr="002F5C4C">
        <w:rPr>
          <w:rFonts w:ascii="Times New Roman" w:hAnsi="Times New Roman"/>
          <w:sz w:val="24"/>
          <w:szCs w:val="24"/>
        </w:rPr>
        <w:t>înfăptuită</w:t>
      </w:r>
      <w:r w:rsidRPr="002F5C4C">
        <w:rPr>
          <w:rFonts w:ascii="Times New Roman" w:hAnsi="Times New Roman"/>
          <w:sz w:val="24"/>
          <w:szCs w:val="24"/>
        </w:rPr>
        <w:t xml:space="preserve"> prin </w:t>
      </w:r>
      <w:r w:rsidR="00D612F2" w:rsidRPr="002F5C4C">
        <w:rPr>
          <w:rFonts w:ascii="Times New Roman" w:hAnsi="Times New Roman"/>
          <w:sz w:val="24"/>
          <w:szCs w:val="24"/>
        </w:rPr>
        <w:t xml:space="preserve">intermediul </w:t>
      </w:r>
      <w:r w:rsidRPr="002F5C4C">
        <w:rPr>
          <w:rFonts w:ascii="Times New Roman" w:hAnsi="Times New Roman"/>
          <w:sz w:val="24"/>
          <w:szCs w:val="24"/>
        </w:rPr>
        <w:t xml:space="preserve">anumitor strategii de politică monetară. </w:t>
      </w:r>
      <w:r w:rsidR="00D612F2" w:rsidRPr="002F5C4C">
        <w:rPr>
          <w:rFonts w:ascii="Times New Roman" w:hAnsi="Times New Roman"/>
          <w:sz w:val="24"/>
          <w:szCs w:val="24"/>
        </w:rPr>
        <w:t>Începând cu</w:t>
      </w:r>
      <w:r w:rsidRPr="002F5C4C">
        <w:rPr>
          <w:rFonts w:ascii="Times New Roman" w:hAnsi="Times New Roman"/>
          <w:sz w:val="24"/>
          <w:szCs w:val="24"/>
        </w:rPr>
        <w:t xml:space="preserve"> anul 2005, BNR a </w:t>
      </w:r>
      <w:r w:rsidR="00D612F2" w:rsidRPr="002F5C4C">
        <w:rPr>
          <w:rFonts w:ascii="Times New Roman" w:hAnsi="Times New Roman"/>
          <w:sz w:val="24"/>
          <w:szCs w:val="24"/>
        </w:rPr>
        <w:t>pus în practică o nouă strategie</w:t>
      </w:r>
      <w:r w:rsidRPr="002F5C4C">
        <w:rPr>
          <w:rFonts w:ascii="Times New Roman" w:hAnsi="Times New Roman"/>
          <w:sz w:val="24"/>
          <w:szCs w:val="24"/>
        </w:rPr>
        <w:t xml:space="preserve"> de politică monetară, şi anume </w:t>
      </w:r>
      <w:r w:rsidRPr="002F5C4C">
        <w:rPr>
          <w:rFonts w:ascii="Times New Roman" w:hAnsi="Times New Roman"/>
          <w:bCs/>
          <w:sz w:val="24"/>
          <w:szCs w:val="24"/>
        </w:rPr>
        <w:t>ţintirea directă a inflaţiei</w:t>
      </w:r>
      <w:r w:rsidRPr="002F5C4C">
        <w:rPr>
          <w:rFonts w:ascii="Times New Roman" w:hAnsi="Times New Roman"/>
          <w:sz w:val="24"/>
          <w:szCs w:val="24"/>
        </w:rPr>
        <w:t xml:space="preserve">. </w:t>
      </w:r>
    </w:p>
    <w:p w:rsidR="00D915D5" w:rsidRPr="002F5C4C" w:rsidRDefault="002D164B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>Diminuarea</w:t>
      </w:r>
      <w:r w:rsidR="00D915D5" w:rsidRPr="002F5C4C">
        <w:rPr>
          <w:rFonts w:ascii="Times New Roman" w:hAnsi="Times New Roman"/>
          <w:sz w:val="24"/>
          <w:szCs w:val="24"/>
        </w:rPr>
        <w:t xml:space="preserve"> inflației din ultimii ani a fost </w:t>
      </w:r>
      <w:r w:rsidRPr="002F5C4C">
        <w:rPr>
          <w:rFonts w:ascii="Times New Roman" w:hAnsi="Times New Roman"/>
          <w:sz w:val="24"/>
          <w:szCs w:val="24"/>
        </w:rPr>
        <w:t>consecinţa</w:t>
      </w:r>
      <w:r w:rsidR="00D915D5" w:rsidRPr="002F5C4C">
        <w:rPr>
          <w:rFonts w:ascii="Times New Roman" w:hAnsi="Times New Roman"/>
          <w:sz w:val="24"/>
          <w:szCs w:val="24"/>
        </w:rPr>
        <w:t xml:space="preserve"> unui </w:t>
      </w:r>
      <w:r w:rsidRPr="002F5C4C">
        <w:rPr>
          <w:rFonts w:ascii="Times New Roman" w:hAnsi="Times New Roman"/>
          <w:sz w:val="24"/>
          <w:szCs w:val="24"/>
        </w:rPr>
        <w:t>cumul</w:t>
      </w:r>
      <w:r w:rsidR="00D915D5" w:rsidRPr="002F5C4C">
        <w:rPr>
          <w:rFonts w:ascii="Times New Roman" w:hAnsi="Times New Roman"/>
          <w:sz w:val="24"/>
          <w:szCs w:val="24"/>
        </w:rPr>
        <w:t xml:space="preserve"> de politici economice </w:t>
      </w:r>
      <w:r w:rsidRPr="002F5C4C">
        <w:rPr>
          <w:rFonts w:ascii="Times New Roman" w:hAnsi="Times New Roman"/>
          <w:sz w:val="24"/>
          <w:szCs w:val="24"/>
        </w:rPr>
        <w:t>prielnice</w:t>
      </w:r>
      <w:r w:rsidR="00D915D5" w:rsidRPr="002F5C4C">
        <w:rPr>
          <w:rFonts w:ascii="Times New Roman" w:hAnsi="Times New Roman"/>
          <w:sz w:val="24"/>
          <w:szCs w:val="24"/>
        </w:rPr>
        <w:t xml:space="preserve"> dezinflației, </w:t>
      </w:r>
      <w:r w:rsidRPr="002F5C4C">
        <w:rPr>
          <w:rFonts w:ascii="Times New Roman" w:hAnsi="Times New Roman"/>
          <w:sz w:val="24"/>
          <w:szCs w:val="24"/>
        </w:rPr>
        <w:t>completate cu</w:t>
      </w:r>
      <w:r w:rsidR="00D915D5" w:rsidRPr="002F5C4C">
        <w:rPr>
          <w:rFonts w:ascii="Times New Roman" w:hAnsi="Times New Roman"/>
          <w:sz w:val="24"/>
          <w:szCs w:val="24"/>
        </w:rPr>
        <w:t xml:space="preserve"> o politică monetară și fiscală </w:t>
      </w:r>
      <w:r w:rsidRPr="002F5C4C">
        <w:rPr>
          <w:rFonts w:ascii="Times New Roman" w:hAnsi="Times New Roman"/>
          <w:sz w:val="24"/>
          <w:szCs w:val="24"/>
        </w:rPr>
        <w:t>limitative</w:t>
      </w:r>
      <w:r w:rsidR="00D915D5" w:rsidRPr="002F5C4C">
        <w:rPr>
          <w:rFonts w:ascii="Times New Roman" w:hAnsi="Times New Roman"/>
          <w:sz w:val="24"/>
          <w:szCs w:val="24"/>
        </w:rPr>
        <w:t xml:space="preserve"> și o politică bugetară </w:t>
      </w:r>
      <w:r w:rsidRPr="002F5C4C">
        <w:rPr>
          <w:rFonts w:ascii="Times New Roman" w:hAnsi="Times New Roman"/>
          <w:sz w:val="24"/>
          <w:szCs w:val="24"/>
        </w:rPr>
        <w:t>cu aproximaţie</w:t>
      </w:r>
      <w:r w:rsidR="00D915D5" w:rsidRPr="002F5C4C">
        <w:rPr>
          <w:rFonts w:ascii="Times New Roman" w:hAnsi="Times New Roman"/>
          <w:sz w:val="24"/>
          <w:szCs w:val="24"/>
        </w:rPr>
        <w:t xml:space="preserve"> neutrală. Politica monetară a fost </w:t>
      </w:r>
      <w:r w:rsidR="002A0A77" w:rsidRPr="002F5C4C">
        <w:rPr>
          <w:rFonts w:ascii="Times New Roman" w:hAnsi="Times New Roman"/>
          <w:sz w:val="24"/>
          <w:szCs w:val="24"/>
        </w:rPr>
        <w:t>definită</w:t>
      </w:r>
      <w:r w:rsidR="00D915D5" w:rsidRPr="002F5C4C">
        <w:rPr>
          <w:rFonts w:ascii="Times New Roman" w:hAnsi="Times New Roman"/>
          <w:sz w:val="24"/>
          <w:szCs w:val="24"/>
        </w:rPr>
        <w:t xml:space="preserve">, în </w:t>
      </w:r>
      <w:r w:rsidR="002A0A77" w:rsidRPr="002F5C4C">
        <w:rPr>
          <w:rFonts w:ascii="Times New Roman" w:hAnsi="Times New Roman"/>
          <w:sz w:val="24"/>
          <w:szCs w:val="24"/>
        </w:rPr>
        <w:t>special</w:t>
      </w:r>
      <w:r w:rsidR="00D915D5" w:rsidRPr="002F5C4C">
        <w:rPr>
          <w:rFonts w:ascii="Times New Roman" w:hAnsi="Times New Roman"/>
          <w:sz w:val="24"/>
          <w:szCs w:val="24"/>
        </w:rPr>
        <w:t xml:space="preserve">, prin rate </w:t>
      </w:r>
      <w:r w:rsidR="002A0A77" w:rsidRPr="002F5C4C">
        <w:rPr>
          <w:rFonts w:ascii="Times New Roman" w:hAnsi="Times New Roman"/>
          <w:sz w:val="24"/>
          <w:szCs w:val="24"/>
        </w:rPr>
        <w:t>mari</w:t>
      </w:r>
      <w:r w:rsidR="00D915D5" w:rsidRPr="002F5C4C">
        <w:rPr>
          <w:rFonts w:ascii="Times New Roman" w:hAnsi="Times New Roman"/>
          <w:sz w:val="24"/>
          <w:szCs w:val="24"/>
        </w:rPr>
        <w:t xml:space="preserve"> ale </w:t>
      </w:r>
      <w:r w:rsidR="002A0A77" w:rsidRPr="002F5C4C">
        <w:rPr>
          <w:rFonts w:ascii="Times New Roman" w:hAnsi="Times New Roman"/>
          <w:sz w:val="24"/>
          <w:szCs w:val="24"/>
        </w:rPr>
        <w:t>dobânzii şi</w:t>
      </w:r>
      <w:r w:rsidR="00D915D5" w:rsidRPr="002F5C4C">
        <w:rPr>
          <w:rFonts w:ascii="Times New Roman" w:hAnsi="Times New Roman"/>
          <w:sz w:val="24"/>
          <w:szCs w:val="24"/>
        </w:rPr>
        <w:t xml:space="preserve"> ale rezervelor minime obligatorii și </w:t>
      </w:r>
      <w:r w:rsidR="002A0A77" w:rsidRPr="002F5C4C">
        <w:rPr>
          <w:rFonts w:ascii="Times New Roman" w:hAnsi="Times New Roman"/>
          <w:sz w:val="24"/>
          <w:szCs w:val="24"/>
        </w:rPr>
        <w:t xml:space="preserve">printr-o </w:t>
      </w:r>
      <w:r w:rsidR="00D915D5" w:rsidRPr="002F5C4C">
        <w:rPr>
          <w:rFonts w:ascii="Times New Roman" w:hAnsi="Times New Roman"/>
          <w:sz w:val="24"/>
          <w:szCs w:val="24"/>
        </w:rPr>
        <w:t>apreciere</w:t>
      </w:r>
      <w:r w:rsidR="002A0A77" w:rsidRPr="002F5C4C">
        <w:rPr>
          <w:rFonts w:ascii="Times New Roman" w:hAnsi="Times New Roman"/>
          <w:sz w:val="24"/>
          <w:szCs w:val="24"/>
        </w:rPr>
        <w:t xml:space="preserve"> </w:t>
      </w:r>
      <w:r w:rsidR="00D915D5" w:rsidRPr="002F5C4C">
        <w:rPr>
          <w:rFonts w:ascii="Times New Roman" w:hAnsi="Times New Roman"/>
          <w:sz w:val="24"/>
          <w:szCs w:val="24"/>
        </w:rPr>
        <w:t>a monedei naționale (Napoleon Pop</w:t>
      </w:r>
      <w:r w:rsidR="00DB5F76" w:rsidRPr="002F5C4C">
        <w:rPr>
          <w:rFonts w:ascii="Times New Roman" w:hAnsi="Times New Roman"/>
          <w:sz w:val="24"/>
          <w:szCs w:val="24"/>
        </w:rPr>
        <w:t>, 2011</w:t>
      </w:r>
      <w:r w:rsidR="00D915D5" w:rsidRPr="002F5C4C">
        <w:rPr>
          <w:rFonts w:ascii="Times New Roman" w:hAnsi="Times New Roman"/>
          <w:sz w:val="24"/>
          <w:szCs w:val="24"/>
        </w:rPr>
        <w:t xml:space="preserve">). 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Literatura economică </w:t>
      </w:r>
      <w:r w:rsidR="002A0A77" w:rsidRPr="002F5C4C">
        <w:rPr>
          <w:rFonts w:ascii="Times New Roman" w:eastAsia="TimesNewRomanPSMT" w:hAnsi="Times New Roman"/>
          <w:sz w:val="24"/>
          <w:szCs w:val="24"/>
        </w:rPr>
        <w:t>reliefează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 faptul că, în economiile contemporane, atingerea unui nivel </w:t>
      </w:r>
      <w:r w:rsidR="002A0A77" w:rsidRPr="002F5C4C">
        <w:rPr>
          <w:rFonts w:ascii="Times New Roman" w:eastAsia="TimesNewRomanPSMT" w:hAnsi="Times New Roman"/>
          <w:sz w:val="24"/>
          <w:szCs w:val="24"/>
        </w:rPr>
        <w:t>redus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 şi 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lastRenderedPageBreak/>
        <w:t xml:space="preserve">stabil al inflaţiei a condus la </w:t>
      </w:r>
      <w:r w:rsidR="002A0A77" w:rsidRPr="002F5C4C">
        <w:rPr>
          <w:rFonts w:ascii="Times New Roman" w:eastAsia="TimesNewRomanPSMT" w:hAnsi="Times New Roman"/>
          <w:sz w:val="24"/>
          <w:szCs w:val="24"/>
        </w:rPr>
        <w:t>întemeierea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 unui </w:t>
      </w:r>
      <w:r w:rsidR="007C7FD1" w:rsidRPr="002F5C4C">
        <w:rPr>
          <w:rFonts w:ascii="Times New Roman" w:eastAsia="TimesNewRomanPSMT" w:hAnsi="Times New Roman"/>
          <w:sz w:val="24"/>
          <w:szCs w:val="24"/>
        </w:rPr>
        <w:t>mediu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 economic nou, care </w:t>
      </w:r>
      <w:r w:rsidR="007C7FD1" w:rsidRPr="002F5C4C">
        <w:rPr>
          <w:rFonts w:ascii="Times New Roman" w:eastAsia="TimesNewRomanPSMT" w:hAnsi="Times New Roman"/>
          <w:sz w:val="24"/>
          <w:szCs w:val="24"/>
        </w:rPr>
        <w:t>impune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7C7FD1" w:rsidRPr="002F5C4C">
        <w:rPr>
          <w:rFonts w:ascii="Times New Roman" w:eastAsia="TimesNewRomanPSMT" w:hAnsi="Times New Roman"/>
          <w:sz w:val="24"/>
          <w:szCs w:val="24"/>
        </w:rPr>
        <w:t>revalorificarea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 cu </w:t>
      </w:r>
      <w:r w:rsidR="007C7FD1" w:rsidRPr="002F5C4C">
        <w:rPr>
          <w:rFonts w:ascii="Times New Roman" w:eastAsia="TimesNewRomanPSMT" w:hAnsi="Times New Roman"/>
          <w:sz w:val="24"/>
          <w:szCs w:val="24"/>
        </w:rPr>
        <w:t>scrupulozitate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 a relaţiei dintre stabilitatea preţurilor şi stabilitatea financiară (Borio</w:t>
      </w:r>
      <w:r w:rsidR="00DB5F76" w:rsidRPr="002F5C4C">
        <w:rPr>
          <w:rFonts w:ascii="Times New Roman" w:eastAsia="TimesNewRomanPSMT" w:hAnsi="Times New Roman"/>
          <w:sz w:val="24"/>
          <w:szCs w:val="24"/>
        </w:rPr>
        <w:t>, 2007</w:t>
      </w:r>
      <w:r w:rsidR="00D915D5" w:rsidRPr="002F5C4C">
        <w:rPr>
          <w:rFonts w:ascii="Times New Roman" w:eastAsia="TimesNewRomanPSMT" w:hAnsi="Times New Roman"/>
          <w:sz w:val="24"/>
          <w:szCs w:val="24"/>
        </w:rPr>
        <w:t xml:space="preserve">). </w:t>
      </w:r>
    </w:p>
    <w:p w:rsidR="00D915D5" w:rsidRPr="002F5C4C" w:rsidRDefault="00D915D5" w:rsidP="00BB16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 xml:space="preserve">În lucrarea </w:t>
      </w:r>
      <w:r w:rsidRPr="002F5C4C">
        <w:rPr>
          <w:rFonts w:ascii="Times New Roman" w:hAnsi="Times New Roman"/>
          <w:i/>
          <w:sz w:val="24"/>
          <w:szCs w:val="24"/>
        </w:rPr>
        <w:t>Sisteme bancare comparate</w:t>
      </w:r>
      <w:r w:rsidRPr="002F5C4C">
        <w:rPr>
          <w:rFonts w:ascii="Times New Roman" w:hAnsi="Times New Roman"/>
          <w:sz w:val="24"/>
          <w:szCs w:val="24"/>
        </w:rPr>
        <w:t>, Cristi Spulbăr și Mihai Nițoi</w:t>
      </w:r>
      <w:r w:rsidR="00D70A3E" w:rsidRPr="002F5C4C">
        <w:rPr>
          <w:rFonts w:ascii="Times New Roman" w:hAnsi="Times New Roman"/>
          <w:sz w:val="24"/>
          <w:szCs w:val="24"/>
        </w:rPr>
        <w:t xml:space="preserve"> (2012) conturează </w:t>
      </w:r>
      <w:r w:rsidRPr="002F5C4C">
        <w:rPr>
          <w:rFonts w:ascii="Times New Roman" w:hAnsi="Times New Roman"/>
          <w:sz w:val="24"/>
          <w:szCs w:val="24"/>
        </w:rPr>
        <w:t xml:space="preserve">un alt rol </w:t>
      </w:r>
      <w:r w:rsidR="00D70A3E" w:rsidRPr="002F5C4C">
        <w:rPr>
          <w:rFonts w:ascii="Times New Roman" w:hAnsi="Times New Roman"/>
          <w:sz w:val="24"/>
          <w:szCs w:val="24"/>
        </w:rPr>
        <w:t>fundamental</w:t>
      </w:r>
      <w:r w:rsidRPr="002F5C4C">
        <w:rPr>
          <w:rFonts w:ascii="Times New Roman" w:hAnsi="Times New Roman"/>
          <w:sz w:val="24"/>
          <w:szCs w:val="24"/>
        </w:rPr>
        <w:t xml:space="preserve"> care </w:t>
      </w:r>
      <w:r w:rsidR="00D70A3E" w:rsidRPr="002F5C4C">
        <w:rPr>
          <w:rFonts w:ascii="Times New Roman" w:hAnsi="Times New Roman"/>
          <w:sz w:val="24"/>
          <w:szCs w:val="24"/>
        </w:rPr>
        <w:t>i se cuvine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D70A3E" w:rsidRPr="002F5C4C">
        <w:rPr>
          <w:rFonts w:ascii="Times New Roman" w:hAnsi="Times New Roman"/>
          <w:sz w:val="24"/>
          <w:szCs w:val="24"/>
        </w:rPr>
        <w:t>autorităţii monetare</w:t>
      </w:r>
      <w:r w:rsidRPr="002F5C4C">
        <w:rPr>
          <w:rFonts w:ascii="Times New Roman" w:hAnsi="Times New Roman"/>
          <w:sz w:val="24"/>
          <w:szCs w:val="24"/>
        </w:rPr>
        <w:t xml:space="preserve">, alături de obiectivul său </w:t>
      </w:r>
      <w:r w:rsidR="00D70A3E" w:rsidRPr="002F5C4C">
        <w:rPr>
          <w:rFonts w:ascii="Times New Roman" w:hAnsi="Times New Roman"/>
          <w:sz w:val="24"/>
          <w:szCs w:val="24"/>
        </w:rPr>
        <w:t>principal</w:t>
      </w:r>
      <w:r w:rsidRPr="002F5C4C">
        <w:rPr>
          <w:rFonts w:ascii="Times New Roman" w:hAnsi="Times New Roman"/>
          <w:sz w:val="24"/>
          <w:szCs w:val="24"/>
        </w:rPr>
        <w:t xml:space="preserve"> de asigurare a stabilității prețurilor, </w:t>
      </w:r>
      <w:r w:rsidR="00D70A3E" w:rsidRPr="002F5C4C">
        <w:rPr>
          <w:rFonts w:ascii="Times New Roman" w:hAnsi="Times New Roman"/>
          <w:sz w:val="24"/>
          <w:szCs w:val="24"/>
        </w:rPr>
        <w:t>şi anume</w:t>
      </w:r>
      <w:r w:rsidRPr="002F5C4C">
        <w:rPr>
          <w:rFonts w:ascii="Times New Roman" w:hAnsi="Times New Roman"/>
          <w:sz w:val="24"/>
          <w:szCs w:val="24"/>
        </w:rPr>
        <w:t xml:space="preserve"> asigurarea macrostabilității financiare.</w:t>
      </w:r>
      <w:r w:rsidR="00A8775F" w:rsidRPr="002F5C4C">
        <w:rPr>
          <w:rFonts w:ascii="Times New Roman" w:hAnsi="Times New Roman"/>
          <w:sz w:val="24"/>
          <w:szCs w:val="24"/>
        </w:rPr>
        <w:t xml:space="preserve"> În ultimul deceniu</w:t>
      </w:r>
      <w:r w:rsidRPr="002F5C4C">
        <w:rPr>
          <w:rFonts w:ascii="Times New Roman" w:hAnsi="Times New Roman"/>
          <w:sz w:val="24"/>
          <w:szCs w:val="24"/>
        </w:rPr>
        <w:t xml:space="preserve">, asigurarea stabilității financiare a </w:t>
      </w:r>
      <w:r w:rsidR="00D10F6B" w:rsidRPr="002F5C4C">
        <w:rPr>
          <w:rFonts w:ascii="Times New Roman" w:hAnsi="Times New Roman"/>
          <w:sz w:val="24"/>
          <w:szCs w:val="24"/>
        </w:rPr>
        <w:t>dobândit</w:t>
      </w:r>
      <w:r w:rsidRPr="002F5C4C">
        <w:rPr>
          <w:rFonts w:ascii="Times New Roman" w:hAnsi="Times New Roman"/>
          <w:sz w:val="24"/>
          <w:szCs w:val="24"/>
        </w:rPr>
        <w:t xml:space="preserve"> o </w:t>
      </w:r>
      <w:r w:rsidR="00D10F6B" w:rsidRPr="002F5C4C">
        <w:rPr>
          <w:rFonts w:ascii="Times New Roman" w:hAnsi="Times New Roman"/>
          <w:sz w:val="24"/>
          <w:szCs w:val="24"/>
        </w:rPr>
        <w:t>însemnătate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D10F6B" w:rsidRPr="002F5C4C">
        <w:rPr>
          <w:rFonts w:ascii="Times New Roman" w:hAnsi="Times New Roman"/>
          <w:sz w:val="24"/>
          <w:szCs w:val="24"/>
        </w:rPr>
        <w:t>distinctă</w:t>
      </w:r>
      <w:r w:rsidRPr="002F5C4C">
        <w:rPr>
          <w:rFonts w:ascii="Times New Roman" w:hAnsi="Times New Roman"/>
          <w:sz w:val="24"/>
          <w:szCs w:val="24"/>
        </w:rPr>
        <w:t xml:space="preserve">, având în vedere atât </w:t>
      </w:r>
      <w:r w:rsidR="00D10F6B" w:rsidRPr="002F5C4C">
        <w:rPr>
          <w:rFonts w:ascii="Times New Roman" w:hAnsi="Times New Roman"/>
          <w:sz w:val="24"/>
          <w:szCs w:val="24"/>
        </w:rPr>
        <w:t>extinderea</w:t>
      </w:r>
      <w:r w:rsidRPr="002F5C4C">
        <w:rPr>
          <w:rFonts w:ascii="Times New Roman" w:hAnsi="Times New Roman"/>
          <w:sz w:val="24"/>
          <w:szCs w:val="24"/>
        </w:rPr>
        <w:t xml:space="preserve"> și liberalizarea sistemelor financiare, cât și </w:t>
      </w:r>
      <w:r w:rsidR="00D10F6B" w:rsidRPr="002F5C4C">
        <w:rPr>
          <w:rFonts w:ascii="Times New Roman" w:hAnsi="Times New Roman"/>
          <w:sz w:val="24"/>
          <w:szCs w:val="24"/>
        </w:rPr>
        <w:t>prezenţa</w:t>
      </w:r>
      <w:r w:rsidRPr="002F5C4C">
        <w:rPr>
          <w:rFonts w:ascii="Times New Roman" w:hAnsi="Times New Roman"/>
          <w:sz w:val="24"/>
          <w:szCs w:val="24"/>
        </w:rPr>
        <w:t xml:space="preserve"> crizelor financiare sau </w:t>
      </w:r>
      <w:r w:rsidR="00D10F6B" w:rsidRPr="002F5C4C">
        <w:rPr>
          <w:rFonts w:ascii="Times New Roman" w:hAnsi="Times New Roman"/>
          <w:sz w:val="24"/>
          <w:szCs w:val="24"/>
        </w:rPr>
        <w:t>dezechilibrele</w:t>
      </w:r>
      <w:r w:rsidRPr="002F5C4C">
        <w:rPr>
          <w:rFonts w:ascii="Times New Roman" w:hAnsi="Times New Roman"/>
          <w:sz w:val="24"/>
          <w:szCs w:val="24"/>
        </w:rPr>
        <w:t xml:space="preserve"> exogene </w:t>
      </w:r>
      <w:r w:rsidR="00D10F6B" w:rsidRPr="002F5C4C">
        <w:rPr>
          <w:rFonts w:ascii="Times New Roman" w:hAnsi="Times New Roman"/>
          <w:sz w:val="24"/>
          <w:szCs w:val="24"/>
        </w:rPr>
        <w:t>precedate</w:t>
      </w:r>
      <w:r w:rsidRPr="002F5C4C">
        <w:rPr>
          <w:rFonts w:ascii="Times New Roman" w:hAnsi="Times New Roman"/>
          <w:sz w:val="24"/>
          <w:szCs w:val="24"/>
        </w:rPr>
        <w:t xml:space="preserve"> de </w:t>
      </w:r>
      <w:r w:rsidR="00D10F6B" w:rsidRPr="002F5C4C">
        <w:rPr>
          <w:rFonts w:ascii="Times New Roman" w:hAnsi="Times New Roman"/>
          <w:sz w:val="24"/>
          <w:szCs w:val="24"/>
        </w:rPr>
        <w:t>repercursiuni</w:t>
      </w:r>
      <w:r w:rsidRPr="002F5C4C">
        <w:rPr>
          <w:rFonts w:ascii="Times New Roman" w:hAnsi="Times New Roman"/>
          <w:sz w:val="24"/>
          <w:szCs w:val="24"/>
        </w:rPr>
        <w:t xml:space="preserve"> naționale și internaționale negative </w:t>
      </w:r>
      <w:r w:rsidR="00D10F6B" w:rsidRPr="002F5C4C">
        <w:rPr>
          <w:rFonts w:ascii="Times New Roman" w:hAnsi="Times New Roman"/>
          <w:sz w:val="24"/>
          <w:szCs w:val="24"/>
        </w:rPr>
        <w:t>puternice</w:t>
      </w:r>
      <w:r w:rsidRPr="002F5C4C">
        <w:rPr>
          <w:rFonts w:ascii="Times New Roman" w:hAnsi="Times New Roman"/>
          <w:sz w:val="24"/>
          <w:szCs w:val="24"/>
        </w:rPr>
        <w:t>.</w:t>
      </w:r>
      <w:r w:rsidR="00DB5F76" w:rsidRPr="002F5C4C">
        <w:rPr>
          <w:rFonts w:ascii="Times New Roman" w:hAnsi="Times New Roman"/>
          <w:sz w:val="24"/>
          <w:szCs w:val="24"/>
        </w:rPr>
        <w:t xml:space="preserve"> </w:t>
      </w:r>
      <w:r w:rsidR="000A13A4" w:rsidRPr="002F5C4C">
        <w:rPr>
          <w:rFonts w:ascii="Times New Roman" w:hAnsi="Times New Roman"/>
          <w:sz w:val="24"/>
          <w:szCs w:val="24"/>
        </w:rPr>
        <w:t>Recenta c</w:t>
      </w:r>
      <w:r w:rsidR="00760AE3" w:rsidRPr="002F5C4C">
        <w:rPr>
          <w:rFonts w:ascii="Times New Roman" w:hAnsi="Times New Roman"/>
          <w:sz w:val="24"/>
          <w:szCs w:val="24"/>
        </w:rPr>
        <w:t>riză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760AE3" w:rsidRPr="002F5C4C">
        <w:rPr>
          <w:rFonts w:ascii="Times New Roman" w:hAnsi="Times New Roman"/>
          <w:sz w:val="24"/>
          <w:szCs w:val="24"/>
        </w:rPr>
        <w:t>economico-</w:t>
      </w:r>
      <w:r w:rsidRPr="002F5C4C">
        <w:rPr>
          <w:rFonts w:ascii="Times New Roman" w:hAnsi="Times New Roman"/>
          <w:sz w:val="24"/>
          <w:szCs w:val="24"/>
        </w:rPr>
        <w:t xml:space="preserve">financiară a </w:t>
      </w:r>
      <w:r w:rsidR="00760AE3" w:rsidRPr="002F5C4C">
        <w:rPr>
          <w:rFonts w:ascii="Times New Roman" w:hAnsi="Times New Roman"/>
          <w:sz w:val="24"/>
          <w:szCs w:val="24"/>
        </w:rPr>
        <w:t>reliefat</w:t>
      </w:r>
      <w:r w:rsidRPr="002F5C4C">
        <w:rPr>
          <w:rFonts w:ascii="Times New Roman" w:hAnsi="Times New Roman"/>
          <w:sz w:val="24"/>
          <w:szCs w:val="24"/>
        </w:rPr>
        <w:t xml:space="preserve">, </w:t>
      </w:r>
      <w:r w:rsidR="00CB715A" w:rsidRPr="002F5C4C">
        <w:rPr>
          <w:rFonts w:ascii="Times New Roman" w:hAnsi="Times New Roman"/>
          <w:sz w:val="24"/>
          <w:szCs w:val="24"/>
        </w:rPr>
        <w:t>din nou</w:t>
      </w:r>
      <w:r w:rsidRPr="002F5C4C">
        <w:rPr>
          <w:rFonts w:ascii="Times New Roman" w:hAnsi="Times New Roman"/>
          <w:sz w:val="24"/>
          <w:szCs w:val="24"/>
        </w:rPr>
        <w:t xml:space="preserve">, </w:t>
      </w:r>
      <w:r w:rsidR="00CB715A" w:rsidRPr="002F5C4C">
        <w:rPr>
          <w:rFonts w:ascii="Times New Roman" w:hAnsi="Times New Roman"/>
          <w:sz w:val="24"/>
          <w:szCs w:val="24"/>
        </w:rPr>
        <w:t>starea deficitară a</w:t>
      </w:r>
      <w:r w:rsidRPr="002F5C4C">
        <w:rPr>
          <w:rFonts w:ascii="Times New Roman" w:hAnsi="Times New Roman"/>
          <w:sz w:val="24"/>
          <w:szCs w:val="24"/>
        </w:rPr>
        <w:t xml:space="preserve"> regimurilor de supraveghere </w:t>
      </w:r>
      <w:r w:rsidR="00CB715A" w:rsidRPr="002F5C4C">
        <w:rPr>
          <w:rFonts w:ascii="Times New Roman" w:hAnsi="Times New Roman"/>
          <w:sz w:val="24"/>
          <w:szCs w:val="24"/>
        </w:rPr>
        <w:t>recunoscute</w:t>
      </w:r>
      <w:r w:rsidRPr="002F5C4C">
        <w:rPr>
          <w:rFonts w:ascii="Times New Roman" w:hAnsi="Times New Roman"/>
          <w:sz w:val="24"/>
          <w:szCs w:val="24"/>
        </w:rPr>
        <w:t xml:space="preserve"> (reglementarea monetară și cea prudențială) și a</w:t>
      </w:r>
      <w:r w:rsidR="00CB715A" w:rsidRPr="002F5C4C">
        <w:rPr>
          <w:rFonts w:ascii="Times New Roman" w:hAnsi="Times New Roman"/>
          <w:sz w:val="24"/>
          <w:szCs w:val="24"/>
        </w:rPr>
        <w:t xml:space="preserve"> obligat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CB715A" w:rsidRPr="002F5C4C">
        <w:rPr>
          <w:rFonts w:ascii="Times New Roman" w:hAnsi="Times New Roman"/>
          <w:sz w:val="24"/>
          <w:szCs w:val="24"/>
        </w:rPr>
        <w:t>completarea</w:t>
      </w:r>
      <w:r w:rsidRPr="002F5C4C">
        <w:rPr>
          <w:rFonts w:ascii="Times New Roman" w:hAnsi="Times New Roman"/>
          <w:sz w:val="24"/>
          <w:szCs w:val="24"/>
        </w:rPr>
        <w:t xml:space="preserve"> acestui </w:t>
      </w:r>
      <w:r w:rsidR="00CB715A" w:rsidRPr="002F5C4C">
        <w:rPr>
          <w:rFonts w:ascii="Times New Roman" w:hAnsi="Times New Roman"/>
          <w:sz w:val="24"/>
          <w:szCs w:val="24"/>
        </w:rPr>
        <w:t>ansamblu</w:t>
      </w:r>
      <w:r w:rsidRPr="002F5C4C">
        <w:rPr>
          <w:rFonts w:ascii="Times New Roman" w:hAnsi="Times New Roman"/>
          <w:sz w:val="24"/>
          <w:szCs w:val="24"/>
        </w:rPr>
        <w:t xml:space="preserve"> cu o abordare macroprudențială care să </w:t>
      </w:r>
      <w:r w:rsidR="00CB715A" w:rsidRPr="002F5C4C">
        <w:rPr>
          <w:rFonts w:ascii="Times New Roman" w:hAnsi="Times New Roman"/>
          <w:sz w:val="24"/>
          <w:szCs w:val="24"/>
        </w:rPr>
        <w:t>supravegheze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CB715A" w:rsidRPr="002F5C4C">
        <w:rPr>
          <w:rFonts w:ascii="Times New Roman" w:hAnsi="Times New Roman"/>
          <w:sz w:val="24"/>
          <w:szCs w:val="24"/>
        </w:rPr>
        <w:t>interacţiunile</w:t>
      </w:r>
      <w:r w:rsidRPr="002F5C4C">
        <w:rPr>
          <w:rFonts w:ascii="Times New Roman" w:hAnsi="Times New Roman"/>
          <w:sz w:val="24"/>
          <w:szCs w:val="24"/>
        </w:rPr>
        <w:t xml:space="preserve"> dintre stabilitatea financiară și </w:t>
      </w:r>
      <w:r w:rsidR="00CB715A" w:rsidRPr="002F5C4C">
        <w:rPr>
          <w:rFonts w:ascii="Times New Roman" w:hAnsi="Times New Roman"/>
          <w:sz w:val="24"/>
          <w:szCs w:val="24"/>
        </w:rPr>
        <w:t xml:space="preserve">stabilitatea </w:t>
      </w:r>
      <w:r w:rsidRPr="002F5C4C">
        <w:rPr>
          <w:rFonts w:ascii="Times New Roman" w:hAnsi="Times New Roman"/>
          <w:sz w:val="24"/>
          <w:szCs w:val="24"/>
        </w:rPr>
        <w:t xml:space="preserve">macroeconomică. </w:t>
      </w:r>
    </w:p>
    <w:p w:rsidR="00D915D5" w:rsidRPr="002F5C4C" w:rsidRDefault="003F6445" w:rsidP="00BB16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CB715A" w:rsidRPr="002F5C4C">
        <w:rPr>
          <w:rFonts w:ascii="Times New Roman" w:hAnsi="Times New Roman"/>
          <w:sz w:val="24"/>
          <w:szCs w:val="24"/>
          <w:lang w:val="ro-RO"/>
        </w:rPr>
        <w:t>circumstanţele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13A4" w:rsidRPr="002F5C4C">
        <w:rPr>
          <w:rFonts w:ascii="Times New Roman" w:hAnsi="Times New Roman"/>
          <w:sz w:val="24"/>
          <w:szCs w:val="24"/>
          <w:lang w:val="ro-RO"/>
        </w:rPr>
        <w:t xml:space="preserve">recentei </w:t>
      </w:r>
      <w:r w:rsidRPr="002F5C4C">
        <w:rPr>
          <w:rFonts w:ascii="Times New Roman" w:hAnsi="Times New Roman"/>
          <w:sz w:val="24"/>
          <w:szCs w:val="24"/>
          <w:lang w:val="ro-RO"/>
        </w:rPr>
        <w:t>criz</w:t>
      </w:r>
      <w:r w:rsidR="000A13A4" w:rsidRPr="002F5C4C">
        <w:rPr>
          <w:rFonts w:ascii="Times New Roman" w:hAnsi="Times New Roman"/>
          <w:sz w:val="24"/>
          <w:szCs w:val="24"/>
          <w:lang w:val="ro-RO"/>
        </w:rPr>
        <w:t>e economico-financiare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915D5" w:rsidRPr="002F5C4C">
        <w:rPr>
          <w:rFonts w:ascii="Times New Roman" w:hAnsi="Times New Roman"/>
          <w:sz w:val="24"/>
          <w:szCs w:val="24"/>
          <w:lang w:val="ro-RO"/>
        </w:rPr>
        <w:t xml:space="preserve">BNR a </w:t>
      </w:r>
      <w:r w:rsidR="00CB715A" w:rsidRPr="002F5C4C">
        <w:rPr>
          <w:rFonts w:ascii="Times New Roman" w:hAnsi="Times New Roman"/>
          <w:sz w:val="24"/>
          <w:szCs w:val="24"/>
          <w:lang w:val="ro-RO"/>
        </w:rPr>
        <w:t>pus în practică</w:t>
      </w:r>
      <w:r w:rsidR="00D915D5" w:rsidRPr="002F5C4C">
        <w:rPr>
          <w:rFonts w:ascii="Times New Roman" w:hAnsi="Times New Roman"/>
          <w:sz w:val="24"/>
          <w:szCs w:val="24"/>
          <w:lang w:val="ro-RO"/>
        </w:rPr>
        <w:t xml:space="preserve"> o politică anticiclică </w:t>
      </w:r>
      <w:r w:rsidR="00CB715A" w:rsidRPr="002F5C4C">
        <w:rPr>
          <w:rFonts w:ascii="Times New Roman" w:hAnsi="Times New Roman"/>
          <w:sz w:val="24"/>
          <w:szCs w:val="24"/>
          <w:lang w:val="ro-RO"/>
        </w:rPr>
        <w:t>făcând uz</w:t>
      </w:r>
      <w:r w:rsidR="00D915D5" w:rsidRPr="002F5C4C">
        <w:rPr>
          <w:rFonts w:ascii="Times New Roman" w:hAnsi="Times New Roman"/>
          <w:sz w:val="24"/>
          <w:szCs w:val="24"/>
          <w:lang w:val="ro-RO"/>
        </w:rPr>
        <w:t xml:space="preserve"> de toate instrumentele </w:t>
      </w:r>
      <w:r w:rsidR="00CB715A" w:rsidRPr="002F5C4C">
        <w:rPr>
          <w:rFonts w:ascii="Times New Roman" w:hAnsi="Times New Roman"/>
          <w:sz w:val="24"/>
          <w:szCs w:val="24"/>
          <w:lang w:val="ro-RO"/>
        </w:rPr>
        <w:t>pe care le are la dispoziţie</w:t>
      </w:r>
      <w:r w:rsidR="00D915D5" w:rsidRPr="002F5C4C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303D40" w:rsidRPr="002F5C4C">
        <w:rPr>
          <w:rFonts w:ascii="Times New Roman" w:hAnsi="Times New Roman"/>
          <w:sz w:val="24"/>
          <w:szCs w:val="24"/>
          <w:lang w:val="ro-RO"/>
        </w:rPr>
        <w:t>În vederea contracarării atitudinii</w:t>
      </w:r>
      <w:r w:rsidR="00D915D5"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03D40" w:rsidRPr="002F5C4C">
        <w:rPr>
          <w:rFonts w:ascii="Times New Roman" w:hAnsi="Times New Roman"/>
          <w:sz w:val="24"/>
          <w:szCs w:val="24"/>
        </w:rPr>
        <w:t>strategiilor şi deciziilor</w:t>
      </w:r>
      <w:r w:rsidR="00D915D5" w:rsidRPr="002F5C4C">
        <w:rPr>
          <w:rFonts w:ascii="Times New Roman" w:hAnsi="Times New Roman"/>
          <w:sz w:val="24"/>
          <w:szCs w:val="24"/>
        </w:rPr>
        <w:t xml:space="preserve"> prociclice ale băncilo</w:t>
      </w:r>
      <w:r w:rsidR="00303D40" w:rsidRPr="002F5C4C">
        <w:rPr>
          <w:rFonts w:ascii="Times New Roman" w:hAnsi="Times New Roman"/>
          <w:sz w:val="24"/>
          <w:szCs w:val="24"/>
        </w:rPr>
        <w:t>r comerciale, implicit riscurilor</w:t>
      </w:r>
      <w:r w:rsidR="00D915D5" w:rsidRPr="002F5C4C">
        <w:rPr>
          <w:rFonts w:ascii="Times New Roman" w:hAnsi="Times New Roman"/>
          <w:sz w:val="24"/>
          <w:szCs w:val="24"/>
        </w:rPr>
        <w:t xml:space="preserve"> </w:t>
      </w:r>
      <w:r w:rsidR="00303D40" w:rsidRPr="002F5C4C">
        <w:rPr>
          <w:rFonts w:ascii="Times New Roman" w:hAnsi="Times New Roman"/>
          <w:sz w:val="24"/>
          <w:szCs w:val="24"/>
        </w:rPr>
        <w:t>survenite</w:t>
      </w:r>
      <w:r w:rsidR="00D915D5" w:rsidRPr="002F5C4C">
        <w:rPr>
          <w:rFonts w:ascii="Times New Roman" w:hAnsi="Times New Roman"/>
          <w:sz w:val="24"/>
          <w:szCs w:val="24"/>
        </w:rPr>
        <w:t xml:space="preserve"> în economie, BNR </w:t>
      </w:r>
      <w:r w:rsidR="00303D40" w:rsidRPr="002F5C4C">
        <w:rPr>
          <w:rFonts w:ascii="Times New Roman" w:hAnsi="Times New Roman"/>
          <w:sz w:val="24"/>
          <w:szCs w:val="24"/>
        </w:rPr>
        <w:t>şi-a însuşit</w:t>
      </w:r>
      <w:r w:rsidR="00D915D5" w:rsidRPr="002F5C4C">
        <w:rPr>
          <w:rFonts w:ascii="Times New Roman" w:hAnsi="Times New Roman"/>
          <w:sz w:val="24"/>
          <w:szCs w:val="24"/>
        </w:rPr>
        <w:t xml:space="preserve"> o atitudine anticiclică, atât în </w:t>
      </w:r>
      <w:r w:rsidR="007A785E" w:rsidRPr="002F5C4C">
        <w:rPr>
          <w:rFonts w:ascii="Times New Roman" w:hAnsi="Times New Roman"/>
          <w:sz w:val="24"/>
          <w:szCs w:val="24"/>
        </w:rPr>
        <w:t>stadiul</w:t>
      </w:r>
      <w:r w:rsidR="00D915D5" w:rsidRPr="002F5C4C">
        <w:rPr>
          <w:rFonts w:ascii="Times New Roman" w:hAnsi="Times New Roman"/>
          <w:sz w:val="24"/>
          <w:szCs w:val="24"/>
        </w:rPr>
        <w:t xml:space="preserve"> de boo</w:t>
      </w:r>
      <w:r w:rsidR="007A785E" w:rsidRPr="002F5C4C">
        <w:rPr>
          <w:rFonts w:ascii="Times New Roman" w:hAnsi="Times New Roman"/>
          <w:sz w:val="24"/>
          <w:szCs w:val="24"/>
        </w:rPr>
        <w:t>m, cât şi în stadiul</w:t>
      </w:r>
      <w:r w:rsidR="00D915D5" w:rsidRPr="002F5C4C">
        <w:rPr>
          <w:rFonts w:ascii="Times New Roman" w:hAnsi="Times New Roman"/>
          <w:sz w:val="24"/>
          <w:szCs w:val="24"/>
        </w:rPr>
        <w:t xml:space="preserve"> de recesiune. Această atitudine a fost </w:t>
      </w:r>
      <w:r w:rsidR="007A785E" w:rsidRPr="002F5C4C">
        <w:rPr>
          <w:rFonts w:ascii="Times New Roman" w:hAnsi="Times New Roman"/>
          <w:sz w:val="24"/>
          <w:szCs w:val="24"/>
        </w:rPr>
        <w:t>pusă în practică</w:t>
      </w:r>
      <w:r w:rsidR="00D915D5" w:rsidRPr="002F5C4C">
        <w:rPr>
          <w:rFonts w:ascii="Times New Roman" w:hAnsi="Times New Roman"/>
          <w:sz w:val="24"/>
          <w:szCs w:val="24"/>
        </w:rPr>
        <w:t xml:space="preserve"> atât </w:t>
      </w:r>
      <w:r w:rsidR="007A785E" w:rsidRPr="002F5C4C">
        <w:rPr>
          <w:rFonts w:ascii="Times New Roman" w:hAnsi="Times New Roman"/>
          <w:sz w:val="24"/>
          <w:szCs w:val="24"/>
        </w:rPr>
        <w:t xml:space="preserve">în </w:t>
      </w:r>
      <w:r w:rsidR="0078107A" w:rsidRPr="002F5C4C">
        <w:rPr>
          <w:rFonts w:ascii="Times New Roman" w:hAnsi="Times New Roman"/>
          <w:sz w:val="24"/>
          <w:szCs w:val="24"/>
        </w:rPr>
        <w:t>cee</w:t>
      </w:r>
      <w:r w:rsidR="007A785E" w:rsidRPr="002F5C4C">
        <w:rPr>
          <w:rFonts w:ascii="Times New Roman" w:hAnsi="Times New Roman"/>
          <w:sz w:val="24"/>
          <w:szCs w:val="24"/>
        </w:rPr>
        <w:t>a</w:t>
      </w:r>
      <w:r w:rsidR="0078107A" w:rsidRPr="002F5C4C">
        <w:rPr>
          <w:rFonts w:ascii="Times New Roman" w:hAnsi="Times New Roman"/>
          <w:sz w:val="24"/>
          <w:szCs w:val="24"/>
        </w:rPr>
        <w:t xml:space="preserve"> </w:t>
      </w:r>
      <w:r w:rsidR="007A785E" w:rsidRPr="002F5C4C">
        <w:rPr>
          <w:rFonts w:ascii="Times New Roman" w:hAnsi="Times New Roman"/>
          <w:sz w:val="24"/>
          <w:szCs w:val="24"/>
        </w:rPr>
        <w:t xml:space="preserve">ce priveşte </w:t>
      </w:r>
      <w:r w:rsidR="00D915D5" w:rsidRPr="002F5C4C">
        <w:rPr>
          <w:rFonts w:ascii="Times New Roman" w:hAnsi="Times New Roman"/>
          <w:sz w:val="24"/>
          <w:szCs w:val="24"/>
        </w:rPr>
        <w:t>politica monetară</w:t>
      </w:r>
      <w:r w:rsidRPr="002F5C4C">
        <w:rPr>
          <w:rFonts w:ascii="Times New Roman" w:hAnsi="Times New Roman"/>
          <w:sz w:val="24"/>
          <w:szCs w:val="24"/>
        </w:rPr>
        <w:t>,</w:t>
      </w:r>
      <w:r w:rsidR="00D915D5" w:rsidRPr="002F5C4C">
        <w:rPr>
          <w:rFonts w:ascii="Times New Roman" w:hAnsi="Times New Roman"/>
          <w:sz w:val="24"/>
          <w:szCs w:val="24"/>
        </w:rPr>
        <w:t xml:space="preserve"> cât şi cea prudenţială.</w:t>
      </w:r>
      <w:r w:rsidR="00755D09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107A" w:rsidRPr="002F5C4C">
        <w:rPr>
          <w:rFonts w:ascii="Times New Roman" w:hAnsi="Times New Roman"/>
          <w:sz w:val="24"/>
          <w:szCs w:val="24"/>
        </w:rPr>
        <w:t>În ceea ce priveşte</w:t>
      </w:r>
      <w:r w:rsidR="00D915D5" w:rsidRPr="002F5C4C">
        <w:rPr>
          <w:rFonts w:ascii="Times New Roman" w:hAnsi="Times New Roman"/>
          <w:sz w:val="24"/>
          <w:szCs w:val="24"/>
        </w:rPr>
        <w:t xml:space="preserve"> măsuri</w:t>
      </w:r>
      <w:r w:rsidR="0078107A" w:rsidRPr="002F5C4C">
        <w:rPr>
          <w:rFonts w:ascii="Times New Roman" w:hAnsi="Times New Roman"/>
          <w:sz w:val="24"/>
          <w:szCs w:val="24"/>
        </w:rPr>
        <w:t>le</w:t>
      </w:r>
      <w:r w:rsidR="00D915D5" w:rsidRPr="002F5C4C">
        <w:rPr>
          <w:rFonts w:ascii="Times New Roman" w:hAnsi="Times New Roman"/>
          <w:sz w:val="24"/>
          <w:szCs w:val="24"/>
        </w:rPr>
        <w:t xml:space="preserve"> de ordin prudenţial, BNR a </w:t>
      </w:r>
      <w:r w:rsidR="0078107A" w:rsidRPr="002F5C4C">
        <w:rPr>
          <w:rFonts w:ascii="Times New Roman" w:hAnsi="Times New Roman"/>
          <w:sz w:val="24"/>
          <w:szCs w:val="24"/>
        </w:rPr>
        <w:t>adoptat</w:t>
      </w:r>
      <w:r w:rsidR="00D915D5" w:rsidRPr="002F5C4C">
        <w:rPr>
          <w:rFonts w:ascii="Times New Roman" w:hAnsi="Times New Roman"/>
          <w:sz w:val="24"/>
          <w:szCs w:val="24"/>
        </w:rPr>
        <w:t xml:space="preserve"> mai multe decizii controversate, </w:t>
      </w:r>
      <w:r w:rsidR="0078107A" w:rsidRPr="002F5C4C">
        <w:rPr>
          <w:rFonts w:ascii="Times New Roman" w:hAnsi="Times New Roman"/>
          <w:sz w:val="24"/>
          <w:szCs w:val="24"/>
        </w:rPr>
        <w:t>având drept scop reducerea</w:t>
      </w:r>
      <w:r w:rsidR="00D915D5" w:rsidRPr="002F5C4C">
        <w:rPr>
          <w:rFonts w:ascii="Times New Roman" w:hAnsi="Times New Roman"/>
          <w:sz w:val="24"/>
          <w:szCs w:val="24"/>
        </w:rPr>
        <w:t xml:space="preserve"> riscul</w:t>
      </w:r>
      <w:r w:rsidR="0078107A" w:rsidRPr="002F5C4C">
        <w:rPr>
          <w:rFonts w:ascii="Times New Roman" w:hAnsi="Times New Roman"/>
          <w:sz w:val="24"/>
          <w:szCs w:val="24"/>
        </w:rPr>
        <w:t>ui</w:t>
      </w:r>
      <w:r w:rsidR="00D915D5" w:rsidRPr="002F5C4C">
        <w:rPr>
          <w:rFonts w:ascii="Times New Roman" w:hAnsi="Times New Roman"/>
          <w:sz w:val="24"/>
          <w:szCs w:val="24"/>
        </w:rPr>
        <w:t xml:space="preserve"> sistemic </w:t>
      </w:r>
      <w:r w:rsidR="00224C01" w:rsidRPr="002F5C4C">
        <w:rPr>
          <w:rFonts w:ascii="Times New Roman" w:hAnsi="Times New Roman"/>
          <w:sz w:val="24"/>
          <w:szCs w:val="24"/>
        </w:rPr>
        <w:t>rezultat în urma dinamicii mari</w:t>
      </w:r>
      <w:r w:rsidR="00D915D5" w:rsidRPr="002F5C4C">
        <w:rPr>
          <w:rFonts w:ascii="Times New Roman" w:hAnsi="Times New Roman"/>
          <w:sz w:val="24"/>
          <w:szCs w:val="24"/>
        </w:rPr>
        <w:t xml:space="preserve"> a creditului gospodăriilor. De acelaşi principiu anticiclic, BNR a </w:t>
      </w:r>
      <w:r w:rsidR="00224C01" w:rsidRPr="002F5C4C">
        <w:rPr>
          <w:rFonts w:ascii="Times New Roman" w:hAnsi="Times New Roman"/>
          <w:sz w:val="24"/>
          <w:szCs w:val="24"/>
        </w:rPr>
        <w:t>acţionat</w:t>
      </w:r>
      <w:r w:rsidR="00D915D5" w:rsidRPr="002F5C4C">
        <w:rPr>
          <w:rFonts w:ascii="Times New Roman" w:hAnsi="Times New Roman"/>
          <w:sz w:val="24"/>
          <w:szCs w:val="24"/>
        </w:rPr>
        <w:t xml:space="preserve"> asupra cadrului prudenţial în </w:t>
      </w:r>
      <w:r w:rsidR="00224C01" w:rsidRPr="002F5C4C">
        <w:rPr>
          <w:rFonts w:ascii="Times New Roman" w:hAnsi="Times New Roman"/>
          <w:sz w:val="24"/>
          <w:szCs w:val="24"/>
        </w:rPr>
        <w:t>faza de declin a activtăţii economice</w:t>
      </w:r>
      <w:r w:rsidR="00D915D5" w:rsidRPr="002F5C4C">
        <w:rPr>
          <w:rFonts w:ascii="Times New Roman" w:hAnsi="Times New Roman"/>
          <w:sz w:val="24"/>
          <w:szCs w:val="24"/>
        </w:rPr>
        <w:t xml:space="preserve"> pentru a ced</w:t>
      </w:r>
      <w:r w:rsidR="00771C6F" w:rsidRPr="002F5C4C">
        <w:rPr>
          <w:rFonts w:ascii="Times New Roman" w:hAnsi="Times New Roman"/>
          <w:sz w:val="24"/>
          <w:szCs w:val="24"/>
        </w:rPr>
        <w:t xml:space="preserve">a mai multe resurse în economie </w:t>
      </w:r>
      <w:r w:rsidR="00771C6F" w:rsidRPr="002F5C4C">
        <w:rPr>
          <w:rFonts w:ascii="Times New Roman" w:eastAsia="TimesNewRomanPSMT" w:hAnsi="Times New Roman"/>
          <w:sz w:val="24"/>
          <w:szCs w:val="24"/>
        </w:rPr>
        <w:t>(</w:t>
      </w:r>
      <w:r w:rsidR="00842206" w:rsidRPr="002F5C4C">
        <w:rPr>
          <w:rFonts w:ascii="Times New Roman" w:eastAsia="TimesNewRomanPSMT" w:hAnsi="Times New Roman"/>
          <w:sz w:val="24"/>
          <w:szCs w:val="24"/>
        </w:rPr>
        <w:t>Isărescu</w:t>
      </w:r>
      <w:r w:rsidR="00771C6F" w:rsidRPr="002F5C4C">
        <w:rPr>
          <w:rFonts w:ascii="Times New Roman" w:eastAsia="TimesNewRomanPSMT" w:hAnsi="Times New Roman"/>
          <w:sz w:val="24"/>
          <w:szCs w:val="24"/>
        </w:rPr>
        <w:t>, 2011).</w:t>
      </w:r>
    </w:p>
    <w:p w:rsidR="00D915D5" w:rsidRPr="002F5C4C" w:rsidRDefault="00D915D5" w:rsidP="00BB16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>În ceea ce privește măsurile administrative de limitare a creditării introduse de BNR în ultimii ani, Gheorghe Manolescu</w:t>
      </w:r>
      <w:r w:rsidRPr="002F5C4C">
        <w:rPr>
          <w:rFonts w:ascii="Times New Roman" w:hAnsi="Times New Roman"/>
          <w:b/>
          <w:sz w:val="24"/>
          <w:szCs w:val="24"/>
        </w:rPr>
        <w:t xml:space="preserve"> </w:t>
      </w:r>
      <w:r w:rsidRPr="002F5C4C">
        <w:rPr>
          <w:rFonts w:ascii="Times New Roman" w:hAnsi="Times New Roman"/>
          <w:sz w:val="24"/>
          <w:szCs w:val="24"/>
        </w:rPr>
        <w:t xml:space="preserve">(2009) </w:t>
      </w:r>
      <w:r w:rsidR="003F60CC" w:rsidRPr="002F5C4C">
        <w:rPr>
          <w:rFonts w:ascii="Times New Roman" w:hAnsi="Times New Roman"/>
          <w:sz w:val="24"/>
          <w:szCs w:val="24"/>
        </w:rPr>
        <w:t>consideră</w:t>
      </w:r>
      <w:r w:rsidRPr="002F5C4C">
        <w:rPr>
          <w:rFonts w:ascii="Times New Roman" w:hAnsi="Times New Roman"/>
          <w:sz w:val="24"/>
          <w:szCs w:val="24"/>
        </w:rPr>
        <w:t xml:space="preserve"> că ac</w:t>
      </w:r>
      <w:r w:rsidR="003F60CC" w:rsidRPr="002F5C4C">
        <w:rPr>
          <w:rFonts w:ascii="Times New Roman" w:hAnsi="Times New Roman"/>
          <w:sz w:val="24"/>
          <w:szCs w:val="24"/>
        </w:rPr>
        <w:t>estea ar putea deveni ineficiente</w:t>
      </w:r>
      <w:r w:rsidRPr="002F5C4C">
        <w:rPr>
          <w:rFonts w:ascii="Times New Roman" w:hAnsi="Times New Roman"/>
          <w:sz w:val="24"/>
          <w:szCs w:val="24"/>
        </w:rPr>
        <w:t xml:space="preserve"> pe termen lung. Autorul își susține punctul de vedere pe baza experiențelor altor țări unde măsurile administrative de limitare a creditării nu au </w:t>
      </w:r>
      <w:r w:rsidR="008329D1" w:rsidRPr="002F5C4C">
        <w:rPr>
          <w:rFonts w:ascii="Times New Roman" w:hAnsi="Times New Roman"/>
          <w:sz w:val="24"/>
          <w:szCs w:val="24"/>
        </w:rPr>
        <w:t>înregistrat reuşite</w:t>
      </w:r>
      <w:r w:rsidRPr="002F5C4C">
        <w:rPr>
          <w:rFonts w:ascii="Times New Roman" w:hAnsi="Times New Roman"/>
          <w:sz w:val="24"/>
          <w:szCs w:val="24"/>
        </w:rPr>
        <w:t xml:space="preserve"> în ajustarea dezechilibrelor macroeconomice.</w:t>
      </w:r>
      <w:r w:rsidR="008329D1" w:rsidRPr="002F5C4C">
        <w:rPr>
          <w:rFonts w:ascii="Times New Roman" w:hAnsi="Times New Roman"/>
          <w:sz w:val="24"/>
          <w:szCs w:val="24"/>
        </w:rPr>
        <w:t xml:space="preserve"> Atitudinea de îndoială</w:t>
      </w:r>
      <w:r w:rsidRPr="002F5C4C">
        <w:rPr>
          <w:rFonts w:ascii="Times New Roman" w:hAnsi="Times New Roman"/>
          <w:sz w:val="24"/>
          <w:szCs w:val="24"/>
        </w:rPr>
        <w:t xml:space="preserve"> este justificat</w:t>
      </w:r>
      <w:r w:rsidR="008329D1" w:rsidRPr="002F5C4C">
        <w:rPr>
          <w:rFonts w:ascii="Times New Roman" w:hAnsi="Times New Roman"/>
          <w:sz w:val="24"/>
          <w:szCs w:val="24"/>
        </w:rPr>
        <w:t>ă</w:t>
      </w:r>
      <w:r w:rsidRPr="002F5C4C">
        <w:rPr>
          <w:rFonts w:ascii="Times New Roman" w:hAnsi="Times New Roman"/>
          <w:sz w:val="24"/>
          <w:szCs w:val="24"/>
        </w:rPr>
        <w:t xml:space="preserve"> prin faptul că deși pe termen scurt măsurile administrative au </w:t>
      </w:r>
      <w:r w:rsidR="00726FA0" w:rsidRPr="002F5C4C">
        <w:rPr>
          <w:rFonts w:ascii="Times New Roman" w:hAnsi="Times New Roman"/>
          <w:sz w:val="24"/>
          <w:szCs w:val="24"/>
        </w:rPr>
        <w:t xml:space="preserve">influenţat controlul </w:t>
      </w:r>
      <w:r w:rsidRPr="002F5C4C">
        <w:rPr>
          <w:rFonts w:ascii="Times New Roman" w:hAnsi="Times New Roman"/>
          <w:sz w:val="24"/>
          <w:szCs w:val="24"/>
        </w:rPr>
        <w:t xml:space="preserve">cererii agregate, pe termen lung </w:t>
      </w:r>
      <w:r w:rsidR="00726FA0" w:rsidRPr="002F5C4C">
        <w:rPr>
          <w:rFonts w:ascii="Times New Roman" w:hAnsi="Times New Roman"/>
          <w:sz w:val="24"/>
          <w:szCs w:val="24"/>
        </w:rPr>
        <w:t>se cere implementarea</w:t>
      </w:r>
      <w:r w:rsidRPr="002F5C4C">
        <w:rPr>
          <w:rFonts w:ascii="Times New Roman" w:hAnsi="Times New Roman"/>
          <w:sz w:val="24"/>
          <w:szCs w:val="24"/>
        </w:rPr>
        <w:t xml:space="preserve"> soluții</w:t>
      </w:r>
      <w:r w:rsidR="00726FA0" w:rsidRPr="002F5C4C">
        <w:rPr>
          <w:rFonts w:ascii="Times New Roman" w:hAnsi="Times New Roman"/>
          <w:sz w:val="24"/>
          <w:szCs w:val="24"/>
        </w:rPr>
        <w:t>lor</w:t>
      </w:r>
      <w:r w:rsidRPr="002F5C4C">
        <w:rPr>
          <w:rFonts w:ascii="Times New Roman" w:hAnsi="Times New Roman"/>
          <w:sz w:val="24"/>
          <w:szCs w:val="24"/>
        </w:rPr>
        <w:t xml:space="preserve"> de control al cererii agregate, care să se </w:t>
      </w:r>
      <w:r w:rsidR="00726FA0" w:rsidRPr="002F5C4C">
        <w:rPr>
          <w:rFonts w:ascii="Times New Roman" w:hAnsi="Times New Roman"/>
          <w:sz w:val="24"/>
          <w:szCs w:val="24"/>
        </w:rPr>
        <w:t>centreze</w:t>
      </w:r>
      <w:r w:rsidRPr="002F5C4C">
        <w:rPr>
          <w:rFonts w:ascii="Times New Roman" w:hAnsi="Times New Roman"/>
          <w:sz w:val="24"/>
          <w:szCs w:val="24"/>
        </w:rPr>
        <w:t xml:space="preserve"> mai mult pe </w:t>
      </w:r>
      <w:r w:rsidR="00726FA0" w:rsidRPr="002F5C4C">
        <w:rPr>
          <w:rFonts w:ascii="Times New Roman" w:hAnsi="Times New Roman"/>
          <w:sz w:val="24"/>
          <w:szCs w:val="24"/>
        </w:rPr>
        <w:t>aplicarea</w:t>
      </w:r>
      <w:r w:rsidRPr="002F5C4C">
        <w:rPr>
          <w:rFonts w:ascii="Times New Roman" w:hAnsi="Times New Roman"/>
          <w:sz w:val="24"/>
          <w:szCs w:val="24"/>
        </w:rPr>
        <w:t xml:space="preserve"> politicilor macroeconomice tradiționale, precum politica </w:t>
      </w:r>
      <w:r w:rsidR="00726FA0" w:rsidRPr="002F5C4C">
        <w:rPr>
          <w:rFonts w:ascii="Times New Roman" w:hAnsi="Times New Roman"/>
          <w:sz w:val="24"/>
          <w:szCs w:val="24"/>
        </w:rPr>
        <w:t>bugetară</w:t>
      </w:r>
      <w:r w:rsidRPr="002F5C4C">
        <w:rPr>
          <w:rFonts w:ascii="Times New Roman" w:hAnsi="Times New Roman"/>
          <w:sz w:val="24"/>
          <w:szCs w:val="24"/>
        </w:rPr>
        <w:t>, politica</w:t>
      </w:r>
      <w:r w:rsidR="00726FA0" w:rsidRPr="002F5C4C">
        <w:rPr>
          <w:rFonts w:ascii="Times New Roman" w:hAnsi="Times New Roman"/>
          <w:sz w:val="24"/>
          <w:szCs w:val="24"/>
        </w:rPr>
        <w:t xml:space="preserve"> fiscală</w:t>
      </w:r>
      <w:r w:rsidRPr="002F5C4C">
        <w:rPr>
          <w:rFonts w:ascii="Times New Roman" w:hAnsi="Times New Roman"/>
          <w:sz w:val="24"/>
          <w:szCs w:val="24"/>
        </w:rPr>
        <w:t xml:space="preserve"> și politica monetară. </w:t>
      </w:r>
    </w:p>
    <w:p w:rsidR="00363BBB" w:rsidRPr="002F5C4C" w:rsidRDefault="00D915D5" w:rsidP="005151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În opinia economistului Lucian Croitoru (2012), î</w:t>
      </w:r>
      <w:r w:rsidR="000A13A4" w:rsidRPr="002F5C4C">
        <w:rPr>
          <w:rFonts w:ascii="Times New Roman" w:hAnsi="Times New Roman"/>
          <w:sz w:val="24"/>
          <w:szCs w:val="24"/>
        </w:rPr>
        <w:t xml:space="preserve">n mod </w:t>
      </w:r>
      <w:r w:rsidR="00726FA0" w:rsidRPr="002F5C4C">
        <w:rPr>
          <w:rFonts w:ascii="Times New Roman" w:hAnsi="Times New Roman"/>
          <w:sz w:val="24"/>
          <w:szCs w:val="24"/>
        </w:rPr>
        <w:t>contradictoriu</w:t>
      </w:r>
      <w:r w:rsidR="000A13A4" w:rsidRPr="002F5C4C">
        <w:rPr>
          <w:rFonts w:ascii="Times New Roman" w:hAnsi="Times New Roman"/>
          <w:sz w:val="24"/>
          <w:szCs w:val="24"/>
        </w:rPr>
        <w:t>, criză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726FA0" w:rsidRPr="002F5C4C">
        <w:rPr>
          <w:rFonts w:ascii="Times New Roman" w:hAnsi="Times New Roman"/>
          <w:sz w:val="24"/>
          <w:szCs w:val="24"/>
        </w:rPr>
        <w:t>economico-</w:t>
      </w:r>
      <w:r w:rsidRPr="002F5C4C">
        <w:rPr>
          <w:rFonts w:ascii="Times New Roman" w:hAnsi="Times New Roman"/>
          <w:sz w:val="24"/>
          <w:szCs w:val="24"/>
        </w:rPr>
        <w:t>financiară</w:t>
      </w:r>
      <w:r w:rsidR="00726FA0" w:rsidRPr="002F5C4C">
        <w:rPr>
          <w:rFonts w:ascii="Times New Roman" w:hAnsi="Times New Roman"/>
          <w:sz w:val="24"/>
          <w:szCs w:val="24"/>
        </w:rPr>
        <w:t xml:space="preserve"> recentă</w:t>
      </w:r>
      <w:r w:rsidRPr="002F5C4C">
        <w:rPr>
          <w:rFonts w:ascii="Times New Roman" w:hAnsi="Times New Roman"/>
          <w:sz w:val="24"/>
          <w:szCs w:val="24"/>
        </w:rPr>
        <w:t xml:space="preserve"> a dus la punerea sub semnul întrebării a activităţii băncilor centrale, deşi tocmai aceste instituţii au </w:t>
      </w:r>
      <w:r w:rsidR="00A65B39" w:rsidRPr="002F5C4C">
        <w:rPr>
          <w:rFonts w:ascii="Times New Roman" w:hAnsi="Times New Roman"/>
          <w:sz w:val="24"/>
          <w:szCs w:val="24"/>
        </w:rPr>
        <w:t>fost ultim</w:t>
      </w:r>
      <w:r w:rsidR="00152439" w:rsidRPr="002F5C4C">
        <w:rPr>
          <w:rFonts w:ascii="Times New Roman" w:hAnsi="Times New Roman"/>
          <w:sz w:val="24"/>
          <w:szCs w:val="24"/>
        </w:rPr>
        <w:t>a fo</w:t>
      </w:r>
      <w:r w:rsidR="00A65B39" w:rsidRPr="002F5C4C">
        <w:rPr>
          <w:rFonts w:ascii="Times New Roman" w:hAnsi="Times New Roman"/>
          <w:sz w:val="24"/>
          <w:szCs w:val="24"/>
        </w:rPr>
        <w:t xml:space="preserve">rtificaţie </w:t>
      </w:r>
      <w:r w:rsidRPr="002F5C4C">
        <w:rPr>
          <w:rFonts w:ascii="Times New Roman" w:hAnsi="Times New Roman"/>
          <w:sz w:val="24"/>
          <w:szCs w:val="24"/>
        </w:rPr>
        <w:t xml:space="preserve">în faţa </w:t>
      </w:r>
      <w:r w:rsidR="00152439" w:rsidRPr="002F5C4C">
        <w:rPr>
          <w:rFonts w:ascii="Times New Roman" w:hAnsi="Times New Roman"/>
          <w:sz w:val="24"/>
          <w:szCs w:val="24"/>
        </w:rPr>
        <w:t>riscu</w:t>
      </w:r>
      <w:r w:rsidRPr="002F5C4C">
        <w:rPr>
          <w:rFonts w:ascii="Times New Roman" w:hAnsi="Times New Roman"/>
          <w:sz w:val="24"/>
          <w:szCs w:val="24"/>
        </w:rPr>
        <w:t xml:space="preserve">lui prăbuşirii economiei şi fluxurilor internaţionale. Acesta pledează pentru o </w:t>
      </w:r>
      <w:r w:rsidR="00AB31B1" w:rsidRPr="002F5C4C">
        <w:rPr>
          <w:rFonts w:ascii="Times New Roman" w:hAnsi="Times New Roman"/>
          <w:sz w:val="24"/>
          <w:szCs w:val="24"/>
        </w:rPr>
        <w:t>poziţie</w:t>
      </w:r>
      <w:r w:rsidRPr="002F5C4C">
        <w:rPr>
          <w:rFonts w:ascii="Times New Roman" w:hAnsi="Times New Roman"/>
          <w:sz w:val="24"/>
          <w:szCs w:val="24"/>
        </w:rPr>
        <w:t xml:space="preserve"> şi o implicare mai proactivă </w:t>
      </w:r>
      <w:r w:rsidR="00AB31B1" w:rsidRPr="002F5C4C">
        <w:rPr>
          <w:rFonts w:ascii="Times New Roman" w:hAnsi="Times New Roman"/>
          <w:sz w:val="24"/>
          <w:szCs w:val="24"/>
        </w:rPr>
        <w:t>din partea</w:t>
      </w:r>
      <w:r w:rsidRPr="002F5C4C">
        <w:rPr>
          <w:rFonts w:ascii="Times New Roman" w:hAnsi="Times New Roman"/>
          <w:sz w:val="24"/>
          <w:szCs w:val="24"/>
        </w:rPr>
        <w:t xml:space="preserve"> băncii centrale, </w:t>
      </w:r>
      <w:r w:rsidR="00AB31B1" w:rsidRPr="002F5C4C">
        <w:rPr>
          <w:rFonts w:ascii="Times New Roman" w:hAnsi="Times New Roman"/>
          <w:sz w:val="24"/>
          <w:szCs w:val="24"/>
        </w:rPr>
        <w:t>totuşi</w:t>
      </w:r>
      <w:r w:rsidRPr="002F5C4C">
        <w:rPr>
          <w:rFonts w:ascii="Times New Roman" w:hAnsi="Times New Roman"/>
          <w:sz w:val="24"/>
          <w:szCs w:val="24"/>
        </w:rPr>
        <w:t xml:space="preserve"> fără exagerarea rolului şi </w:t>
      </w:r>
      <w:r w:rsidR="005662BF" w:rsidRPr="002F5C4C">
        <w:rPr>
          <w:rFonts w:ascii="Times New Roman" w:hAnsi="Times New Roman"/>
          <w:sz w:val="24"/>
          <w:szCs w:val="24"/>
        </w:rPr>
        <w:t>abilităţii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5662BF" w:rsidRPr="002F5C4C">
        <w:rPr>
          <w:rFonts w:ascii="Times New Roman" w:hAnsi="Times New Roman"/>
          <w:sz w:val="24"/>
          <w:szCs w:val="24"/>
        </w:rPr>
        <w:t>autorităţii monetare</w:t>
      </w:r>
      <w:r w:rsidRPr="002F5C4C">
        <w:rPr>
          <w:rFonts w:ascii="Times New Roman" w:hAnsi="Times New Roman"/>
          <w:sz w:val="24"/>
          <w:szCs w:val="24"/>
        </w:rPr>
        <w:t xml:space="preserve"> de a </w:t>
      </w:r>
      <w:r w:rsidR="005662BF" w:rsidRPr="002F5C4C">
        <w:rPr>
          <w:rFonts w:ascii="Times New Roman" w:hAnsi="Times New Roman"/>
          <w:sz w:val="24"/>
          <w:szCs w:val="24"/>
        </w:rPr>
        <w:t>soluţiona</w:t>
      </w:r>
      <w:r w:rsidRPr="002F5C4C">
        <w:rPr>
          <w:rFonts w:ascii="Times New Roman" w:hAnsi="Times New Roman"/>
          <w:sz w:val="24"/>
          <w:szCs w:val="24"/>
        </w:rPr>
        <w:t xml:space="preserve"> singură sau aproape singură </w:t>
      </w:r>
      <w:r w:rsidR="005662BF" w:rsidRPr="002F5C4C">
        <w:rPr>
          <w:rFonts w:ascii="Times New Roman" w:hAnsi="Times New Roman"/>
          <w:sz w:val="24"/>
          <w:szCs w:val="24"/>
        </w:rPr>
        <w:t>dificultăţile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5662BF" w:rsidRPr="002F5C4C">
        <w:rPr>
          <w:rFonts w:ascii="Times New Roman" w:hAnsi="Times New Roman"/>
          <w:sz w:val="24"/>
          <w:szCs w:val="24"/>
        </w:rPr>
        <w:t>pe care le întâmpină</w:t>
      </w:r>
      <w:r w:rsidRPr="002F5C4C">
        <w:rPr>
          <w:rFonts w:ascii="Times New Roman" w:hAnsi="Times New Roman"/>
          <w:sz w:val="24"/>
          <w:szCs w:val="24"/>
        </w:rPr>
        <w:t xml:space="preserve"> întreaga economie. Este </w:t>
      </w:r>
      <w:r w:rsidR="004247F8" w:rsidRPr="002F5C4C">
        <w:rPr>
          <w:rFonts w:ascii="Times New Roman" w:hAnsi="Times New Roman"/>
          <w:sz w:val="24"/>
          <w:szCs w:val="24"/>
        </w:rPr>
        <w:t>necesară</w:t>
      </w:r>
      <w:r w:rsidRPr="002F5C4C">
        <w:rPr>
          <w:rFonts w:ascii="Times New Roman" w:hAnsi="Times New Roman"/>
          <w:sz w:val="24"/>
          <w:szCs w:val="24"/>
        </w:rPr>
        <w:t xml:space="preserve"> o </w:t>
      </w:r>
      <w:r w:rsidR="004247F8" w:rsidRPr="002F5C4C">
        <w:rPr>
          <w:rFonts w:ascii="Times New Roman" w:hAnsi="Times New Roman"/>
          <w:sz w:val="24"/>
          <w:szCs w:val="24"/>
        </w:rPr>
        <w:t>conlucrare</w:t>
      </w:r>
      <w:r w:rsidRPr="002F5C4C">
        <w:rPr>
          <w:rFonts w:ascii="Times New Roman" w:hAnsi="Times New Roman"/>
          <w:sz w:val="24"/>
          <w:szCs w:val="24"/>
        </w:rPr>
        <w:t xml:space="preserve"> şi o implicare </w:t>
      </w:r>
      <w:r w:rsidR="004247F8" w:rsidRPr="002F5C4C">
        <w:rPr>
          <w:rFonts w:ascii="Times New Roman" w:hAnsi="Times New Roman"/>
          <w:sz w:val="24"/>
          <w:szCs w:val="24"/>
        </w:rPr>
        <w:t>din partea tututor instituţiilor ş</w:t>
      </w:r>
      <w:r w:rsidRPr="002F5C4C">
        <w:rPr>
          <w:rFonts w:ascii="Times New Roman" w:hAnsi="Times New Roman"/>
          <w:sz w:val="24"/>
          <w:szCs w:val="24"/>
        </w:rPr>
        <w:t xml:space="preserve">i structurilor naţionale care să </w:t>
      </w:r>
      <w:r w:rsidR="004247F8" w:rsidRPr="002F5C4C">
        <w:rPr>
          <w:rFonts w:ascii="Times New Roman" w:hAnsi="Times New Roman"/>
          <w:sz w:val="24"/>
          <w:szCs w:val="24"/>
        </w:rPr>
        <w:t>aplic</w:t>
      </w:r>
      <w:r w:rsidRPr="002F5C4C">
        <w:rPr>
          <w:rFonts w:ascii="Times New Roman" w:hAnsi="Times New Roman"/>
          <w:sz w:val="24"/>
          <w:szCs w:val="24"/>
        </w:rPr>
        <w:t>e mix</w:t>
      </w:r>
      <w:r w:rsidR="004247F8" w:rsidRPr="002F5C4C">
        <w:rPr>
          <w:rFonts w:ascii="Times New Roman" w:hAnsi="Times New Roman"/>
          <w:sz w:val="24"/>
          <w:szCs w:val="24"/>
        </w:rPr>
        <w:t>ul</w:t>
      </w:r>
      <w:r w:rsidRPr="002F5C4C">
        <w:rPr>
          <w:rFonts w:ascii="Times New Roman" w:hAnsi="Times New Roman"/>
          <w:sz w:val="24"/>
          <w:szCs w:val="24"/>
        </w:rPr>
        <w:t xml:space="preserve"> de politici şi programe </w:t>
      </w:r>
      <w:r w:rsidR="004247F8" w:rsidRPr="002F5C4C">
        <w:rPr>
          <w:rFonts w:ascii="Times New Roman" w:hAnsi="Times New Roman"/>
          <w:sz w:val="24"/>
          <w:szCs w:val="24"/>
        </w:rPr>
        <w:t>de care este nevoie pentru o reluare consistentă şi sustenabilă</w:t>
      </w:r>
      <w:r w:rsidRPr="002F5C4C">
        <w:rPr>
          <w:rFonts w:ascii="Times New Roman" w:hAnsi="Times New Roman"/>
          <w:sz w:val="24"/>
          <w:szCs w:val="24"/>
        </w:rPr>
        <w:t xml:space="preserve"> a creşterii economice.</w:t>
      </w:r>
      <w:bookmarkStart w:id="1" w:name="_Toc358661552"/>
    </w:p>
    <w:p w:rsidR="00AF32F6" w:rsidRPr="002F5C4C" w:rsidRDefault="00AF32F6" w:rsidP="005151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F3353" w:rsidRPr="00B04C27" w:rsidRDefault="00D915D5" w:rsidP="00B04C27">
      <w:pPr>
        <w:pStyle w:val="Heading1"/>
        <w:numPr>
          <w:ilvl w:val="0"/>
          <w:numId w:val="31"/>
        </w:numPr>
        <w:spacing w:before="0" w:beforeAutospacing="0" w:after="0" w:afterAutospacing="0"/>
        <w:ind w:left="1134" w:hanging="425"/>
        <w:jc w:val="both"/>
        <w:rPr>
          <w:szCs w:val="24"/>
        </w:rPr>
      </w:pPr>
      <w:r w:rsidRPr="002F5C4C">
        <w:rPr>
          <w:szCs w:val="24"/>
        </w:rPr>
        <w:t>INTERVENȚIA BNR PRIN POLITICI MONETARE ȘI MACROSTABILITATEA</w:t>
      </w:r>
      <w:r w:rsidR="009554BA" w:rsidRPr="002F5C4C">
        <w:rPr>
          <w:szCs w:val="24"/>
        </w:rPr>
        <w:t xml:space="preserve"> </w:t>
      </w:r>
      <w:bookmarkEnd w:id="1"/>
      <w:r w:rsidRPr="002F5C4C">
        <w:rPr>
          <w:szCs w:val="24"/>
        </w:rPr>
        <w:t>FINANCIARĂ</w:t>
      </w:r>
      <w:r w:rsidR="003656A8" w:rsidRPr="002F5C4C">
        <w:rPr>
          <w:b w:val="0"/>
        </w:rPr>
        <w:t xml:space="preserve"> </w:t>
      </w:r>
      <w:r w:rsidR="005703E3" w:rsidRPr="002F5C4C">
        <w:t xml:space="preserve"> </w:t>
      </w:r>
    </w:p>
    <w:p w:rsidR="00B04C27" w:rsidRPr="002F5C4C" w:rsidRDefault="00B04C27" w:rsidP="00B04C27">
      <w:pPr>
        <w:pStyle w:val="Heading1"/>
        <w:spacing w:before="0" w:beforeAutospacing="0" w:after="0" w:afterAutospacing="0"/>
        <w:ind w:left="1134"/>
        <w:jc w:val="both"/>
        <w:rPr>
          <w:szCs w:val="24"/>
        </w:rPr>
      </w:pPr>
    </w:p>
    <w:p w:rsidR="004F0192" w:rsidRPr="002F5C4C" w:rsidRDefault="00E93E70" w:rsidP="00BB163A">
      <w:pPr>
        <w:pStyle w:val="Heading2"/>
        <w:spacing w:line="240" w:lineRule="auto"/>
      </w:pPr>
      <w:r w:rsidRPr="002F5C4C">
        <w:rPr>
          <w:szCs w:val="24"/>
        </w:rPr>
        <w:tab/>
      </w:r>
      <w:r w:rsidRPr="002F5C4C">
        <w:rPr>
          <w:rFonts w:eastAsia="TimesNewRomanPSMT"/>
          <w:szCs w:val="24"/>
        </w:rPr>
        <w:t xml:space="preserve">Obiectivul general al </w:t>
      </w:r>
      <w:r w:rsidR="006C55C1" w:rsidRPr="002F5C4C">
        <w:rPr>
          <w:rFonts w:eastAsia="TimesNewRomanPSMT"/>
          <w:szCs w:val="24"/>
        </w:rPr>
        <w:t>BNR</w:t>
      </w:r>
      <w:r w:rsidRPr="002F5C4C">
        <w:rPr>
          <w:rFonts w:eastAsia="TimesNewRomanPSMT"/>
          <w:szCs w:val="24"/>
        </w:rPr>
        <w:t xml:space="preserve"> </w:t>
      </w:r>
      <w:r w:rsidR="006C55C1" w:rsidRPr="002F5C4C">
        <w:rPr>
          <w:rFonts w:eastAsia="TimesNewRomanPSMT"/>
          <w:szCs w:val="24"/>
        </w:rPr>
        <w:t xml:space="preserve">este </w:t>
      </w:r>
      <w:r w:rsidR="00747C2A" w:rsidRPr="002F5C4C">
        <w:rPr>
          <w:rFonts w:eastAsia="TimesNewRomanPSMT"/>
          <w:szCs w:val="24"/>
        </w:rPr>
        <w:t>ilustrat</w:t>
      </w:r>
      <w:r w:rsidR="006C55C1" w:rsidRPr="002F5C4C">
        <w:rPr>
          <w:rFonts w:eastAsia="TimesNewRomanPSMT"/>
          <w:szCs w:val="24"/>
        </w:rPr>
        <w:t xml:space="preserve"> de</w:t>
      </w:r>
      <w:r w:rsidRPr="002F5C4C">
        <w:rPr>
          <w:rFonts w:eastAsia="TimesNewRomanPSMT"/>
          <w:szCs w:val="24"/>
        </w:rPr>
        <w:t xml:space="preserve"> </w:t>
      </w:r>
      <w:r w:rsidR="00747C2A" w:rsidRPr="002F5C4C">
        <w:rPr>
          <w:rFonts w:eastAsia="TimesNewRomanPSMT"/>
          <w:szCs w:val="24"/>
        </w:rPr>
        <w:t>continuarea</w:t>
      </w:r>
      <w:r w:rsidRPr="002F5C4C">
        <w:rPr>
          <w:rFonts w:eastAsia="TimesNewRomanPSMT"/>
          <w:szCs w:val="24"/>
        </w:rPr>
        <w:t xml:space="preserve"> şi consolidarea procesului dezinflaţiei în ritmul </w:t>
      </w:r>
      <w:r w:rsidR="00747C2A" w:rsidRPr="002F5C4C">
        <w:rPr>
          <w:rFonts w:eastAsia="TimesNewRomanPSMT"/>
          <w:szCs w:val="24"/>
        </w:rPr>
        <w:t>necesar atingerii</w:t>
      </w:r>
      <w:r w:rsidRPr="002F5C4C">
        <w:rPr>
          <w:rFonts w:eastAsia="TimesNewRomanPSMT"/>
          <w:szCs w:val="24"/>
        </w:rPr>
        <w:t xml:space="preserve"> ţintelor anuale de inflaţie şi, </w:t>
      </w:r>
      <w:r w:rsidR="00747C2A" w:rsidRPr="002F5C4C">
        <w:rPr>
          <w:rFonts w:eastAsia="TimesNewRomanPSMT"/>
          <w:szCs w:val="24"/>
        </w:rPr>
        <w:t>implicit</w:t>
      </w:r>
      <w:r w:rsidRPr="002F5C4C">
        <w:rPr>
          <w:rFonts w:eastAsia="TimesNewRomanPSMT"/>
          <w:szCs w:val="24"/>
        </w:rPr>
        <w:t xml:space="preserve">, a ţintei de inflaţie pe termen mediu. Acesta </w:t>
      </w:r>
      <w:r w:rsidR="00747C2A" w:rsidRPr="002F5C4C">
        <w:rPr>
          <w:rFonts w:eastAsia="TimesNewRomanPSMT"/>
          <w:szCs w:val="24"/>
        </w:rPr>
        <w:t>provine</w:t>
      </w:r>
      <w:r w:rsidRPr="002F5C4C">
        <w:rPr>
          <w:rFonts w:eastAsia="TimesNewRomanPSMT"/>
          <w:szCs w:val="24"/>
        </w:rPr>
        <w:t>, pe de o parte, din angajamentele asu</w:t>
      </w:r>
      <w:r w:rsidR="00747C2A" w:rsidRPr="002F5C4C">
        <w:rPr>
          <w:rFonts w:eastAsia="TimesNewRomanPSMT"/>
          <w:szCs w:val="24"/>
        </w:rPr>
        <w:t>mate de autorităţi</w:t>
      </w:r>
      <w:r w:rsidR="006C55C1" w:rsidRPr="002F5C4C">
        <w:rPr>
          <w:rFonts w:eastAsia="TimesNewRomanPSMT"/>
          <w:szCs w:val="24"/>
        </w:rPr>
        <w:t xml:space="preserve"> în procesul </w:t>
      </w:r>
      <w:r w:rsidRPr="002F5C4C">
        <w:rPr>
          <w:rFonts w:eastAsia="TimesNewRomanPSMT"/>
          <w:szCs w:val="24"/>
        </w:rPr>
        <w:t>pregă</w:t>
      </w:r>
      <w:r w:rsidR="006C55C1" w:rsidRPr="002F5C4C">
        <w:rPr>
          <w:rFonts w:eastAsia="TimesNewRomanPSMT"/>
          <w:szCs w:val="24"/>
        </w:rPr>
        <w:t xml:space="preserve">tirii </w:t>
      </w:r>
      <w:r w:rsidRPr="002F5C4C">
        <w:rPr>
          <w:rFonts w:eastAsia="TimesNewRomanPSMT"/>
          <w:szCs w:val="24"/>
        </w:rPr>
        <w:t xml:space="preserve">adoptării monedei </w:t>
      </w:r>
      <w:r w:rsidR="00747C2A" w:rsidRPr="002F5C4C">
        <w:rPr>
          <w:rFonts w:eastAsia="TimesNewRomanPSMT"/>
          <w:szCs w:val="24"/>
        </w:rPr>
        <w:t xml:space="preserve">unice </w:t>
      </w:r>
      <w:r w:rsidR="006C55C1" w:rsidRPr="002F5C4C">
        <w:rPr>
          <w:rFonts w:eastAsia="TimesNewRomanPSMT"/>
          <w:szCs w:val="24"/>
        </w:rPr>
        <w:t>euro</w:t>
      </w:r>
      <w:r w:rsidR="00747C2A" w:rsidRPr="002F5C4C">
        <w:rPr>
          <w:rFonts w:eastAsia="TimesNewRomanPSMT"/>
          <w:szCs w:val="24"/>
        </w:rPr>
        <w:t>pene</w:t>
      </w:r>
      <w:r w:rsidRPr="002F5C4C">
        <w:rPr>
          <w:rFonts w:eastAsia="TimesNewRomanPSMT"/>
          <w:szCs w:val="24"/>
        </w:rPr>
        <w:t xml:space="preserve">, precum şi </w:t>
      </w:r>
      <w:r w:rsidR="00747C2A" w:rsidRPr="002F5C4C">
        <w:rPr>
          <w:rFonts w:eastAsia="TimesNewRomanPSMT"/>
          <w:szCs w:val="24"/>
        </w:rPr>
        <w:t>din</w:t>
      </w:r>
      <w:r w:rsidRPr="002F5C4C">
        <w:rPr>
          <w:rFonts w:eastAsia="TimesNewRomanPSMT"/>
          <w:szCs w:val="24"/>
        </w:rPr>
        <w:t xml:space="preserve"> acordurile </w:t>
      </w:r>
      <w:r w:rsidR="006C55C1" w:rsidRPr="002F5C4C">
        <w:rPr>
          <w:rFonts w:eastAsia="TimesNewRomanPSMT"/>
          <w:szCs w:val="24"/>
        </w:rPr>
        <w:t>încheiate</w:t>
      </w:r>
      <w:r w:rsidRPr="002F5C4C">
        <w:rPr>
          <w:rFonts w:eastAsia="TimesNewRomanPSMT"/>
          <w:szCs w:val="24"/>
        </w:rPr>
        <w:t xml:space="preserve"> cu U</w:t>
      </w:r>
      <w:r w:rsidR="00747C2A" w:rsidRPr="002F5C4C">
        <w:rPr>
          <w:rFonts w:eastAsia="TimesNewRomanPSMT"/>
          <w:szCs w:val="24"/>
        </w:rPr>
        <w:t xml:space="preserve">niunea </w:t>
      </w:r>
      <w:r w:rsidRPr="002F5C4C">
        <w:rPr>
          <w:rFonts w:eastAsia="TimesNewRomanPSMT"/>
          <w:szCs w:val="24"/>
        </w:rPr>
        <w:t>E</w:t>
      </w:r>
      <w:r w:rsidR="00747C2A" w:rsidRPr="002F5C4C">
        <w:rPr>
          <w:rFonts w:eastAsia="TimesNewRomanPSMT"/>
          <w:szCs w:val="24"/>
        </w:rPr>
        <w:t>uropeană</w:t>
      </w:r>
      <w:r w:rsidRPr="002F5C4C">
        <w:rPr>
          <w:rFonts w:eastAsia="TimesNewRomanPSMT"/>
          <w:szCs w:val="24"/>
        </w:rPr>
        <w:t>, F</w:t>
      </w:r>
      <w:r w:rsidR="00747C2A" w:rsidRPr="002F5C4C">
        <w:rPr>
          <w:rFonts w:eastAsia="TimesNewRomanPSMT"/>
          <w:szCs w:val="24"/>
        </w:rPr>
        <w:t xml:space="preserve">ondul </w:t>
      </w:r>
      <w:r w:rsidRPr="002F5C4C">
        <w:rPr>
          <w:rFonts w:eastAsia="TimesNewRomanPSMT"/>
          <w:szCs w:val="24"/>
        </w:rPr>
        <w:t>M</w:t>
      </w:r>
      <w:r w:rsidR="00747C2A" w:rsidRPr="002F5C4C">
        <w:rPr>
          <w:rFonts w:eastAsia="TimesNewRomanPSMT"/>
          <w:szCs w:val="24"/>
        </w:rPr>
        <w:t xml:space="preserve">onetar </w:t>
      </w:r>
      <w:r w:rsidRPr="002F5C4C">
        <w:rPr>
          <w:rFonts w:eastAsia="TimesNewRomanPSMT"/>
          <w:szCs w:val="24"/>
        </w:rPr>
        <w:t>I</w:t>
      </w:r>
      <w:r w:rsidR="00747C2A" w:rsidRPr="002F5C4C">
        <w:rPr>
          <w:rFonts w:eastAsia="TimesNewRomanPSMT"/>
          <w:szCs w:val="24"/>
        </w:rPr>
        <w:t>nternaţional</w:t>
      </w:r>
      <w:r w:rsidRPr="002F5C4C">
        <w:rPr>
          <w:rFonts w:eastAsia="TimesNewRomanPSMT"/>
          <w:szCs w:val="24"/>
        </w:rPr>
        <w:t xml:space="preserve"> şi alte instituţii financiare internaţionale şi, pe de altă parte, din </w:t>
      </w:r>
      <w:r w:rsidR="00747C2A" w:rsidRPr="002F5C4C">
        <w:rPr>
          <w:rFonts w:eastAsia="TimesNewRomanPSMT"/>
          <w:szCs w:val="24"/>
        </w:rPr>
        <w:t>caracterul particular</w:t>
      </w:r>
      <w:r w:rsidRPr="002F5C4C">
        <w:rPr>
          <w:rFonts w:eastAsia="TimesNewRomanPSMT"/>
          <w:szCs w:val="24"/>
        </w:rPr>
        <w:t xml:space="preserve"> cadrului macroeconomic ş</w:t>
      </w:r>
      <w:r w:rsidR="006C55C1" w:rsidRPr="002F5C4C">
        <w:rPr>
          <w:rFonts w:eastAsia="TimesNewRomanPSMT"/>
          <w:szCs w:val="24"/>
        </w:rPr>
        <w:t>i financiar în cadrul căruia</w:t>
      </w:r>
      <w:r w:rsidRPr="002F5C4C">
        <w:rPr>
          <w:rFonts w:eastAsia="TimesNewRomanPSMT"/>
          <w:szCs w:val="24"/>
        </w:rPr>
        <w:t xml:space="preserve"> a fost </w:t>
      </w:r>
      <w:r w:rsidR="00747C2A" w:rsidRPr="002F5C4C">
        <w:rPr>
          <w:rFonts w:eastAsia="TimesNewRomanPSMT"/>
          <w:szCs w:val="24"/>
        </w:rPr>
        <w:t>aplicată</w:t>
      </w:r>
      <w:r w:rsidRPr="002F5C4C">
        <w:rPr>
          <w:rFonts w:eastAsia="TimesNewRomanPSMT"/>
          <w:szCs w:val="24"/>
        </w:rPr>
        <w:t xml:space="preserve"> politica monetară. </w:t>
      </w:r>
    </w:p>
    <w:p w:rsidR="00E93E70" w:rsidRPr="002F5C4C" w:rsidRDefault="004F0192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sz w:val="24"/>
          <w:szCs w:val="24"/>
        </w:rPr>
        <w:t xml:space="preserve">Conform </w:t>
      </w:r>
      <w:r w:rsidR="00B04C27">
        <w:rPr>
          <w:rFonts w:ascii="Times New Roman" w:eastAsia="TimesNewRomanPSMT" w:hAnsi="Times New Roman"/>
          <w:sz w:val="24"/>
          <w:szCs w:val="24"/>
        </w:rPr>
        <w:t>(</w:t>
      </w:r>
      <w:r w:rsidR="00BB163A" w:rsidRPr="002F5C4C">
        <w:rPr>
          <w:rFonts w:ascii="Times New Roman" w:eastAsia="TimesNewRomanPSMT" w:hAnsi="Times New Roman"/>
          <w:sz w:val="24"/>
          <w:szCs w:val="24"/>
        </w:rPr>
        <w:t>figurei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 xml:space="preserve"> nr. 1</w:t>
      </w:r>
      <w:r w:rsidR="00B04C27">
        <w:rPr>
          <w:rFonts w:ascii="Times New Roman" w:eastAsia="TimesNewRomanPSMT" w:hAnsi="Times New Roman"/>
          <w:sz w:val="24"/>
          <w:szCs w:val="24"/>
        </w:rPr>
        <w:t>)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 xml:space="preserve">, </w:t>
      </w:r>
      <w:r w:rsidR="00952596" w:rsidRPr="002F5C4C">
        <w:rPr>
          <w:rFonts w:ascii="Times New Roman" w:eastAsia="TimesNewRomanPSMT" w:hAnsi="Times New Roman"/>
          <w:sz w:val="24"/>
          <w:szCs w:val="24"/>
        </w:rPr>
        <w:t>începând cu anul 2005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 xml:space="preserve">, ţintele anuale de inflaţie </w:t>
      </w:r>
      <w:r w:rsidR="00952596" w:rsidRPr="002F5C4C">
        <w:rPr>
          <w:rFonts w:ascii="Times New Roman" w:eastAsia="TimesNewRomanPSMT" w:hAnsi="Times New Roman"/>
          <w:sz w:val="24"/>
          <w:szCs w:val="24"/>
        </w:rPr>
        <w:t>au coborât de la nivelul de 7,5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>% ±1 punct procentual</w:t>
      </w:r>
      <w:r w:rsidR="00952596" w:rsidRPr="002F5C4C">
        <w:rPr>
          <w:rFonts w:ascii="Times New Roman" w:eastAsia="TimesNewRomanPSMT" w:hAnsi="Times New Roman"/>
          <w:sz w:val="24"/>
          <w:szCs w:val="24"/>
        </w:rPr>
        <w:t xml:space="preserve"> până la 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>2,5%±1 punct procentual</w:t>
      </w:r>
      <w:r w:rsidR="00952596" w:rsidRPr="002F5C4C">
        <w:rPr>
          <w:rFonts w:ascii="Times New Roman" w:eastAsia="TimesNewRomanPSMT" w:hAnsi="Times New Roman"/>
          <w:sz w:val="24"/>
          <w:szCs w:val="24"/>
        </w:rPr>
        <w:t>; ţ</w:t>
      </w:r>
      <w:r w:rsidR="00E93E70" w:rsidRPr="002F5C4C">
        <w:rPr>
          <w:rFonts w:ascii="Times New Roman" w:eastAsia="TimesNewRomanPSMT" w:hAnsi="Times New Roman"/>
          <w:sz w:val="24"/>
          <w:szCs w:val="24"/>
        </w:rPr>
        <w:t>inte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>le enumerate anterior</w:t>
      </w:r>
      <w:r w:rsidR="00E93E70" w:rsidRPr="002F5C4C">
        <w:rPr>
          <w:rFonts w:ascii="Times New Roman" w:eastAsia="TimesNewRomanPSMT" w:hAnsi="Times New Roman"/>
          <w:sz w:val="24"/>
          <w:szCs w:val="24"/>
        </w:rPr>
        <w:t xml:space="preserve"> au fo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 xml:space="preserve">st stabilite </w:t>
      </w:r>
      <w:r w:rsidR="00E93E70" w:rsidRPr="002F5C4C">
        <w:rPr>
          <w:rFonts w:ascii="Times New Roman" w:eastAsia="TimesNewRomanPSMT" w:hAnsi="Times New Roman"/>
          <w:sz w:val="24"/>
          <w:szCs w:val="24"/>
        </w:rPr>
        <w:t xml:space="preserve">de 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 xml:space="preserve">către </w:t>
      </w:r>
      <w:r w:rsidR="00747C2A" w:rsidRPr="002F5C4C">
        <w:rPr>
          <w:rFonts w:ascii="Times New Roman" w:eastAsia="TimesNewRomanPSMT" w:hAnsi="Times New Roman"/>
          <w:sz w:val="24"/>
          <w:szCs w:val="24"/>
        </w:rPr>
        <w:t>banca centrală în colaborare</w:t>
      </w:r>
      <w:r w:rsidR="00E93E70" w:rsidRPr="002F5C4C">
        <w:rPr>
          <w:rFonts w:ascii="Times New Roman" w:eastAsia="TimesNewRomanPSMT" w:hAnsi="Times New Roman"/>
          <w:sz w:val="24"/>
          <w:szCs w:val="24"/>
        </w:rPr>
        <w:t xml:space="preserve"> cu guvernul</w:t>
      </w:r>
      <w:r w:rsidR="006C55C1" w:rsidRPr="002F5C4C">
        <w:rPr>
          <w:rFonts w:ascii="Times New Roman" w:eastAsia="TimesNewRomanPSMT" w:hAnsi="Times New Roman"/>
          <w:sz w:val="24"/>
          <w:szCs w:val="24"/>
        </w:rPr>
        <w:t>,</w:t>
      </w:r>
      <w:r w:rsidR="00E93E70" w:rsidRPr="002F5C4C">
        <w:rPr>
          <w:rFonts w:ascii="Times New Roman" w:eastAsia="TimesNewRomanPSMT" w:hAnsi="Times New Roman"/>
          <w:sz w:val="24"/>
          <w:szCs w:val="24"/>
        </w:rPr>
        <w:t xml:space="preserve"> inclusiv din perspectiva cerinţei </w:t>
      </w:r>
      <w:r w:rsidR="003903E9" w:rsidRPr="002F5C4C">
        <w:rPr>
          <w:rFonts w:ascii="Times New Roman" w:eastAsia="TimesNewRomanPSMT" w:hAnsi="Times New Roman"/>
          <w:sz w:val="24"/>
          <w:szCs w:val="24"/>
        </w:rPr>
        <w:lastRenderedPageBreak/>
        <w:t>înregistrării</w:t>
      </w:r>
      <w:r w:rsidR="00747C2A" w:rsidRPr="002F5C4C">
        <w:rPr>
          <w:rFonts w:ascii="Times New Roman" w:eastAsia="TimesNewRomanPSMT" w:hAnsi="Times New Roman"/>
          <w:sz w:val="24"/>
          <w:szCs w:val="24"/>
        </w:rPr>
        <w:t xml:space="preserve"> unui nivel al ratei inflaţiei compatibil cu criteriul Tratatului de la Maastricht (potrivit calendarului prevăzut pentru adoptarea monedei euro), însă şi cu definiţia cantitativă a stabilităţii preţurilor </w:t>
      </w:r>
      <w:r w:rsidR="003903E9" w:rsidRPr="002F5C4C">
        <w:rPr>
          <w:rFonts w:ascii="Times New Roman" w:eastAsia="TimesNewRomanPSMT" w:hAnsi="Times New Roman"/>
          <w:sz w:val="24"/>
          <w:szCs w:val="24"/>
        </w:rPr>
        <w:t>admisă</w:t>
      </w:r>
      <w:r w:rsidR="00747C2A" w:rsidRPr="002F5C4C">
        <w:rPr>
          <w:rFonts w:ascii="Times New Roman" w:eastAsia="TimesNewRomanPSMT" w:hAnsi="Times New Roman"/>
          <w:sz w:val="24"/>
          <w:szCs w:val="24"/>
        </w:rPr>
        <w:t xml:space="preserve"> de Banca Centrală Europeană</w:t>
      </w:r>
      <w:r w:rsidR="00E93E70" w:rsidRPr="002F5C4C">
        <w:rPr>
          <w:rFonts w:ascii="Times New Roman" w:eastAsia="TimesNewRomanPSMT" w:hAnsi="Times New Roman"/>
          <w:sz w:val="24"/>
          <w:szCs w:val="24"/>
        </w:rPr>
        <w:t>.</w:t>
      </w:r>
      <w:r w:rsidR="00952596" w:rsidRPr="002F5C4C">
        <w:rPr>
          <w:rFonts w:ascii="Times New Roman" w:eastAsia="TimesNewRomanPSMT" w:hAnsi="Times New Roman"/>
          <w:sz w:val="24"/>
          <w:szCs w:val="24"/>
        </w:rPr>
        <w:t xml:space="preserve"> În ceea ce priveşte evoluţia ratei inflaţiei, aceasta este caracterizată de o traiectorie oscilantă, intrând în anul 2015 într-un teritoriu negativ. </w:t>
      </w:r>
    </w:p>
    <w:p w:rsidR="00D70736" w:rsidRPr="002F5C4C" w:rsidRDefault="00D70736" w:rsidP="00B04C27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i/>
          <w:sz w:val="20"/>
          <w:szCs w:val="20"/>
        </w:rPr>
      </w:pPr>
      <w:r w:rsidRPr="002F5C4C">
        <w:rPr>
          <w:rFonts w:ascii="Times New Roman" w:eastAsia="TimesNewRomanPSMT" w:hAnsi="Times New Roman"/>
          <w:i/>
          <w:noProof/>
          <w:sz w:val="20"/>
          <w:szCs w:val="20"/>
        </w:rPr>
        <w:drawing>
          <wp:inline distT="0" distB="0" distL="0" distR="0" wp14:anchorId="51660369" wp14:editId="519DAB2F">
            <wp:extent cx="6108192" cy="2523744"/>
            <wp:effectExtent l="0" t="0" r="698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4C27" w:rsidRPr="00B04C27" w:rsidRDefault="00B04C27" w:rsidP="00B04C27">
      <w:pPr>
        <w:pStyle w:val="Caption"/>
        <w:spacing w:after="0"/>
        <w:jc w:val="center"/>
        <w:rPr>
          <w:rFonts w:ascii="Times New Roman" w:eastAsia="TimesNewRomanPSMT" w:hAnsi="Times New Roman"/>
          <w:color w:val="auto"/>
          <w:sz w:val="20"/>
          <w:szCs w:val="20"/>
        </w:rPr>
      </w:pPr>
      <w:bookmarkStart w:id="2" w:name="_Toc359276349"/>
      <w:bookmarkStart w:id="3" w:name="_Toc359315024"/>
      <w:r w:rsidRPr="00B04C27">
        <w:rPr>
          <w:rFonts w:ascii="Times New Roman" w:eastAsia="TimesNewRomanPSMT" w:hAnsi="Times New Roman"/>
          <w:color w:val="auto"/>
          <w:sz w:val="20"/>
          <w:szCs w:val="20"/>
        </w:rPr>
        <w:t xml:space="preserve">Figura nr. 1 </w:t>
      </w:r>
      <w:bookmarkEnd w:id="2"/>
      <w:bookmarkEnd w:id="3"/>
      <w:r w:rsidRPr="00B04C27">
        <w:rPr>
          <w:rFonts w:ascii="Times New Roman" w:eastAsia="TimesNewRomanPSMT" w:hAnsi="Times New Roman"/>
          <w:color w:val="auto"/>
          <w:sz w:val="20"/>
          <w:szCs w:val="20"/>
        </w:rPr>
        <w:t>Evoluția ratei inflației în perioada 2005-2015</w:t>
      </w:r>
    </w:p>
    <w:p w:rsidR="00D70736" w:rsidRPr="00B04C27" w:rsidRDefault="00D70736" w:rsidP="00B04C27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sz w:val="20"/>
          <w:szCs w:val="20"/>
        </w:rPr>
      </w:pPr>
      <w:r w:rsidRPr="00B04C27">
        <w:rPr>
          <w:rFonts w:ascii="Times New Roman" w:eastAsia="TimesNewRomanPSMT" w:hAnsi="Times New Roman"/>
          <w:sz w:val="20"/>
          <w:szCs w:val="20"/>
        </w:rPr>
        <w:t xml:space="preserve">Sursa: </w:t>
      </w:r>
      <w:r w:rsidR="000F249D" w:rsidRPr="00B04C27">
        <w:rPr>
          <w:rFonts w:ascii="Times New Roman" w:hAnsi="Times New Roman"/>
          <w:sz w:val="20"/>
          <w:szCs w:val="20"/>
        </w:rPr>
        <w:t xml:space="preserve">prelucrare pe baza datelor furnizate de </w:t>
      </w:r>
      <w:r w:rsidRPr="00B04C27">
        <w:rPr>
          <w:rFonts w:ascii="Times New Roman" w:eastAsia="TimesNewRomanPSMT" w:hAnsi="Times New Roman"/>
          <w:sz w:val="20"/>
          <w:szCs w:val="20"/>
        </w:rPr>
        <w:t>I</w:t>
      </w:r>
      <w:r w:rsidR="000F249D" w:rsidRPr="00B04C27">
        <w:rPr>
          <w:rFonts w:ascii="Times New Roman" w:eastAsia="TimesNewRomanPSMT" w:hAnsi="Times New Roman"/>
          <w:sz w:val="20"/>
          <w:szCs w:val="20"/>
        </w:rPr>
        <w:t xml:space="preserve">nstitutul </w:t>
      </w:r>
      <w:r w:rsidRPr="00B04C27">
        <w:rPr>
          <w:rFonts w:ascii="Times New Roman" w:eastAsia="TimesNewRomanPSMT" w:hAnsi="Times New Roman"/>
          <w:sz w:val="20"/>
          <w:szCs w:val="20"/>
        </w:rPr>
        <w:t>N</w:t>
      </w:r>
      <w:r w:rsidR="000F249D" w:rsidRPr="00B04C27">
        <w:rPr>
          <w:rFonts w:ascii="Times New Roman" w:eastAsia="TimesNewRomanPSMT" w:hAnsi="Times New Roman"/>
          <w:sz w:val="20"/>
          <w:szCs w:val="20"/>
        </w:rPr>
        <w:t xml:space="preserve">aţional de </w:t>
      </w:r>
      <w:r w:rsidRPr="00B04C27">
        <w:rPr>
          <w:rFonts w:ascii="Times New Roman" w:eastAsia="TimesNewRomanPSMT" w:hAnsi="Times New Roman"/>
          <w:sz w:val="20"/>
          <w:szCs w:val="20"/>
        </w:rPr>
        <w:t>S</w:t>
      </w:r>
      <w:r w:rsidR="000F249D" w:rsidRPr="00B04C27">
        <w:rPr>
          <w:rFonts w:ascii="Times New Roman" w:eastAsia="TimesNewRomanPSMT" w:hAnsi="Times New Roman"/>
          <w:sz w:val="20"/>
          <w:szCs w:val="20"/>
        </w:rPr>
        <w:t>tatistică şi</w:t>
      </w:r>
      <w:r w:rsidRPr="00B04C27">
        <w:rPr>
          <w:rFonts w:ascii="Times New Roman" w:eastAsia="TimesNewRomanPSMT" w:hAnsi="Times New Roman"/>
          <w:sz w:val="20"/>
          <w:szCs w:val="20"/>
        </w:rPr>
        <w:t xml:space="preserve"> B</w:t>
      </w:r>
      <w:r w:rsidR="000F249D" w:rsidRPr="00B04C27">
        <w:rPr>
          <w:rFonts w:ascii="Times New Roman" w:eastAsia="TimesNewRomanPSMT" w:hAnsi="Times New Roman"/>
          <w:sz w:val="20"/>
          <w:szCs w:val="20"/>
        </w:rPr>
        <w:t xml:space="preserve">anca </w:t>
      </w:r>
      <w:r w:rsidRPr="00B04C27">
        <w:rPr>
          <w:rFonts w:ascii="Times New Roman" w:eastAsia="TimesNewRomanPSMT" w:hAnsi="Times New Roman"/>
          <w:sz w:val="20"/>
          <w:szCs w:val="20"/>
        </w:rPr>
        <w:t>N</w:t>
      </w:r>
      <w:r w:rsidR="000F249D" w:rsidRPr="00B04C27">
        <w:rPr>
          <w:rFonts w:ascii="Times New Roman" w:eastAsia="TimesNewRomanPSMT" w:hAnsi="Times New Roman"/>
          <w:sz w:val="20"/>
          <w:szCs w:val="20"/>
        </w:rPr>
        <w:t xml:space="preserve">aţională a </w:t>
      </w:r>
      <w:r w:rsidRPr="00B04C27">
        <w:rPr>
          <w:rFonts w:ascii="Times New Roman" w:eastAsia="TimesNewRomanPSMT" w:hAnsi="Times New Roman"/>
          <w:sz w:val="20"/>
          <w:szCs w:val="20"/>
        </w:rPr>
        <w:t>R</w:t>
      </w:r>
      <w:r w:rsidR="000F249D" w:rsidRPr="00B04C27">
        <w:rPr>
          <w:rFonts w:ascii="Times New Roman" w:eastAsia="TimesNewRomanPSMT" w:hAnsi="Times New Roman"/>
          <w:sz w:val="20"/>
          <w:szCs w:val="20"/>
        </w:rPr>
        <w:t>omâniei</w:t>
      </w:r>
    </w:p>
    <w:p w:rsidR="00993057" w:rsidRPr="002F5C4C" w:rsidRDefault="00D32C86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sz w:val="24"/>
          <w:szCs w:val="24"/>
        </w:rPr>
        <w:t xml:space="preserve">În contextul economic actual, </w:t>
      </w:r>
      <w:r w:rsidR="004E43BA" w:rsidRPr="002F5C4C">
        <w:rPr>
          <w:rFonts w:ascii="Times New Roman" w:eastAsia="TimesNewRomanPSMT" w:hAnsi="Times New Roman"/>
          <w:sz w:val="24"/>
          <w:szCs w:val="24"/>
        </w:rPr>
        <w:t>aplicarea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prudenţei </w:t>
      </w:r>
      <w:r w:rsidR="001A6A10" w:rsidRPr="002F5C4C">
        <w:rPr>
          <w:rFonts w:ascii="Times New Roman" w:eastAsia="TimesNewRomanPSMT" w:hAnsi="Times New Roman"/>
          <w:sz w:val="24"/>
          <w:szCs w:val="24"/>
        </w:rPr>
        <w:t>corespunzătoare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politicii monetare s-a </w:t>
      </w:r>
      <w:r w:rsidR="001A6A10" w:rsidRPr="002F5C4C">
        <w:rPr>
          <w:rFonts w:ascii="Times New Roman" w:eastAsia="TimesNewRomanPSMT" w:hAnsi="Times New Roman"/>
          <w:sz w:val="24"/>
          <w:szCs w:val="24"/>
        </w:rPr>
        <w:t>înfăptuit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1A6A10" w:rsidRPr="002F5C4C">
        <w:rPr>
          <w:rFonts w:ascii="Times New Roman" w:eastAsia="TimesNewRomanPSMT" w:hAnsi="Times New Roman"/>
          <w:sz w:val="24"/>
          <w:szCs w:val="24"/>
        </w:rPr>
        <w:t>cu drept de prioritate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prin prezervarea </w:t>
      </w:r>
      <w:r w:rsidRPr="002F5C4C">
        <w:rPr>
          <w:rFonts w:ascii="Times New Roman" w:eastAsia="TimesNewRomanPSMT" w:hAnsi="Times New Roman"/>
          <w:iCs/>
          <w:sz w:val="24"/>
          <w:szCs w:val="24"/>
        </w:rPr>
        <w:t>statu-quo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-ului </w:t>
      </w:r>
      <w:r w:rsidR="001A6A10" w:rsidRPr="002F5C4C">
        <w:rPr>
          <w:rFonts w:ascii="Times New Roman" w:eastAsia="TimesNewRomanPSMT" w:hAnsi="Times New Roman"/>
          <w:sz w:val="24"/>
          <w:szCs w:val="24"/>
        </w:rPr>
        <w:t xml:space="preserve">afferent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ratei dobânzii de politică monetară, </w:t>
      </w:r>
      <w:r w:rsidR="001A6A10" w:rsidRPr="002F5C4C">
        <w:rPr>
          <w:rFonts w:ascii="Times New Roman" w:eastAsia="TimesNewRomanPSMT" w:hAnsi="Times New Roman"/>
          <w:sz w:val="24"/>
          <w:szCs w:val="24"/>
        </w:rPr>
        <w:t xml:space="preserve">după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cum şi prin </w:t>
      </w:r>
      <w:r w:rsidR="001A6A10" w:rsidRPr="002F5C4C">
        <w:rPr>
          <w:rFonts w:ascii="Times New Roman" w:eastAsia="TimesNewRomanPSMT" w:hAnsi="Times New Roman"/>
          <w:sz w:val="24"/>
          <w:szCs w:val="24"/>
        </w:rPr>
        <w:t xml:space="preserve">restrângerea la 0,25%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a </w:t>
      </w:r>
      <w:r w:rsidR="00C85578" w:rsidRPr="002F5C4C">
        <w:rPr>
          <w:rFonts w:ascii="Times New Roman" w:eastAsia="TimesNewRomanPSMT" w:hAnsi="Times New Roman"/>
          <w:sz w:val="24"/>
          <w:szCs w:val="24"/>
        </w:rPr>
        <w:t>modificărilor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operate </w:t>
      </w:r>
      <w:r w:rsidR="00C85578" w:rsidRPr="002F5C4C">
        <w:rPr>
          <w:rFonts w:ascii="Times New Roman" w:eastAsia="TimesNewRomanPSMT" w:hAnsi="Times New Roman"/>
          <w:sz w:val="24"/>
          <w:szCs w:val="24"/>
        </w:rPr>
        <w:t>consecutiv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asupra</w:t>
      </w:r>
      <w:r w:rsidR="003A27C0" w:rsidRPr="002F5C4C">
        <w:rPr>
          <w:rFonts w:ascii="Times New Roman" w:eastAsia="TimesNewRomanPSMT" w:hAnsi="Times New Roman"/>
          <w:sz w:val="24"/>
          <w:szCs w:val="24"/>
        </w:rPr>
        <w:t xml:space="preserve"> acesteia începând cu luna mai 2010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</w:t>
      </w:r>
      <w:r w:rsidR="00C85578" w:rsidRPr="002F5C4C">
        <w:rPr>
          <w:rFonts w:ascii="Times New Roman" w:eastAsia="TimesNewRomanPSMT" w:hAnsi="Times New Roman"/>
          <w:sz w:val="24"/>
          <w:szCs w:val="24"/>
        </w:rPr>
        <w:t>cu excepţia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C85578" w:rsidRPr="002F5C4C">
        <w:rPr>
          <w:rFonts w:ascii="Times New Roman" w:eastAsia="TimesNewRomanPSMT" w:hAnsi="Times New Roman"/>
          <w:sz w:val="24"/>
          <w:szCs w:val="24"/>
        </w:rPr>
        <w:t>deciziei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din august</w:t>
      </w:r>
      <w:r w:rsidR="003A27C0" w:rsidRPr="002F5C4C">
        <w:rPr>
          <w:rFonts w:ascii="Times New Roman" w:eastAsia="TimesNewRomanPSMT" w:hAnsi="Times New Roman"/>
          <w:sz w:val="24"/>
          <w:szCs w:val="24"/>
        </w:rPr>
        <w:t xml:space="preserve"> 2013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când </w:t>
      </w:r>
      <w:r w:rsidR="00C85578" w:rsidRPr="002F5C4C">
        <w:rPr>
          <w:rFonts w:ascii="Times New Roman" w:eastAsia="TimesNewRomanPSMT" w:hAnsi="Times New Roman"/>
          <w:sz w:val="24"/>
          <w:szCs w:val="24"/>
        </w:rPr>
        <w:t>reducere</w:t>
      </w:r>
      <w:r w:rsidRPr="002F5C4C">
        <w:rPr>
          <w:rFonts w:ascii="Times New Roman" w:eastAsia="TimesNewRomanPSMT" w:hAnsi="Times New Roman"/>
          <w:sz w:val="24"/>
          <w:szCs w:val="24"/>
        </w:rPr>
        <w:t>a a fost majorat</w:t>
      </w:r>
      <w:r w:rsidR="00C85578" w:rsidRPr="002F5C4C">
        <w:rPr>
          <w:rFonts w:ascii="Times New Roman" w:eastAsia="TimesNewRomanPSMT" w:hAnsi="Times New Roman"/>
          <w:sz w:val="24"/>
          <w:szCs w:val="24"/>
        </w:rPr>
        <w:t>ă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la 0,5 puncte </w:t>
      </w:r>
      <w:r w:rsidR="00C85578" w:rsidRPr="002F5C4C">
        <w:rPr>
          <w:rFonts w:ascii="Times New Roman" w:eastAsia="TimesNewRomanPSMT" w:hAnsi="Times New Roman"/>
          <w:sz w:val="24"/>
          <w:szCs w:val="24"/>
        </w:rPr>
        <w:t>procentuale</w:t>
      </w:r>
      <w:r w:rsidR="003A27C0" w:rsidRPr="002F5C4C">
        <w:rPr>
          <w:rFonts w:ascii="Times New Roman" w:eastAsia="TimesNewRomanPSMT" w:hAnsi="Times New Roman"/>
          <w:sz w:val="24"/>
          <w:szCs w:val="24"/>
        </w:rPr>
        <w:t>.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>Deciziile adoptate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de banca centrală,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>alături de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>adecvare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a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 xml:space="preserve">neîntreruptă a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prudenţei politicii monetare,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 xml:space="preserve">cu scopul </w:t>
      </w:r>
      <w:r w:rsidRPr="002F5C4C">
        <w:rPr>
          <w:rFonts w:ascii="Times New Roman" w:eastAsia="TimesNewRomanPSMT" w:hAnsi="Times New Roman"/>
          <w:sz w:val="24"/>
          <w:szCs w:val="24"/>
        </w:rPr>
        <w:t>continuării consolidă</w:t>
      </w:r>
      <w:r w:rsidR="003A27C0" w:rsidRPr="002F5C4C">
        <w:rPr>
          <w:rFonts w:ascii="Times New Roman" w:eastAsia="TimesNewRomanPSMT" w:hAnsi="Times New Roman"/>
          <w:sz w:val="24"/>
          <w:szCs w:val="24"/>
        </w:rPr>
        <w:t>rii fi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scale, au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>determinant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atingerea a celei mai scă</w:t>
      </w:r>
      <w:r w:rsidR="003A27C0" w:rsidRPr="002F5C4C">
        <w:rPr>
          <w:rFonts w:ascii="Times New Roman" w:eastAsia="TimesNewRomanPSMT" w:hAnsi="Times New Roman"/>
          <w:sz w:val="24"/>
          <w:szCs w:val="24"/>
        </w:rPr>
        <w:t>zute rate anuale a infl</w:t>
      </w:r>
      <w:r w:rsidRPr="002F5C4C">
        <w:rPr>
          <w:rFonts w:ascii="Times New Roman" w:eastAsia="TimesNewRomanPSMT" w:hAnsi="Times New Roman"/>
          <w:sz w:val="24"/>
          <w:szCs w:val="24"/>
        </w:rPr>
        <w:t>aţiei din ultimii 24 de ani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 xml:space="preserve"> în luna decembrie 2013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>simultan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cu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>înregistrarea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unei creşteri economice de </w:t>
      </w:r>
      <w:r w:rsidR="008743ED" w:rsidRPr="002F5C4C">
        <w:rPr>
          <w:rFonts w:ascii="Times New Roman" w:eastAsia="TimesNewRomanPSMT" w:hAnsi="Times New Roman"/>
          <w:sz w:val="24"/>
          <w:szCs w:val="24"/>
        </w:rPr>
        <w:t>3,5% pe ansamblul anului</w:t>
      </w:r>
      <w:r w:rsidRPr="002F5C4C">
        <w:rPr>
          <w:rFonts w:ascii="Times New Roman" w:eastAsia="TimesNewRomanPSMT" w:hAnsi="Times New Roman"/>
          <w:sz w:val="24"/>
          <w:szCs w:val="24"/>
        </w:rPr>
        <w:t>.</w:t>
      </w:r>
    </w:p>
    <w:p w:rsidR="00766A53" w:rsidRPr="002F5C4C" w:rsidRDefault="00766A53" w:rsidP="00BB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532561" w:rsidRPr="002F5C4C" w:rsidRDefault="0095576E" w:rsidP="00B0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noProof/>
          <w:sz w:val="24"/>
          <w:szCs w:val="24"/>
        </w:rPr>
        <w:drawing>
          <wp:inline distT="0" distB="0" distL="0" distR="0" wp14:anchorId="579C391B" wp14:editId="1F479867">
            <wp:extent cx="6038491" cy="2958860"/>
            <wp:effectExtent l="0" t="0" r="63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4C27" w:rsidRPr="00B04C27" w:rsidRDefault="00B04C27" w:rsidP="00B0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0"/>
          <w:szCs w:val="20"/>
        </w:rPr>
      </w:pPr>
      <w:r w:rsidRPr="00B04C27">
        <w:rPr>
          <w:rFonts w:ascii="Times New Roman" w:eastAsia="TimesNewRomanPSMT" w:hAnsi="Times New Roman"/>
          <w:b/>
          <w:sz w:val="20"/>
          <w:szCs w:val="20"/>
        </w:rPr>
        <w:t>Figura nr. 2 Rata dobânzii de politică monetară în perioada 2010-2015</w:t>
      </w:r>
    </w:p>
    <w:p w:rsidR="000F249D" w:rsidRPr="00B04C27" w:rsidRDefault="000F249D" w:rsidP="00B0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0"/>
          <w:szCs w:val="20"/>
        </w:rPr>
      </w:pPr>
      <w:r w:rsidRPr="00B04C27">
        <w:rPr>
          <w:rFonts w:ascii="Times New Roman" w:eastAsia="TimesNewRomanPSMT" w:hAnsi="Times New Roman"/>
          <w:sz w:val="20"/>
          <w:szCs w:val="20"/>
        </w:rPr>
        <w:t xml:space="preserve">Sursa: </w:t>
      </w:r>
      <w:r w:rsidRPr="00B04C27">
        <w:rPr>
          <w:rFonts w:ascii="Times New Roman" w:hAnsi="Times New Roman"/>
          <w:sz w:val="20"/>
          <w:szCs w:val="20"/>
        </w:rPr>
        <w:t xml:space="preserve">prelucrare pe baza datelor furnizate de </w:t>
      </w:r>
      <w:r w:rsidRPr="00B04C27">
        <w:rPr>
          <w:rFonts w:ascii="Times New Roman" w:eastAsia="TimesNewRomanPSMT" w:hAnsi="Times New Roman"/>
          <w:sz w:val="20"/>
          <w:szCs w:val="20"/>
        </w:rPr>
        <w:t>Banca Naţională a României</w:t>
      </w:r>
    </w:p>
    <w:p w:rsidR="00305AD3" w:rsidRPr="002F5C4C" w:rsidRDefault="003A27C0" w:rsidP="00BB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</w:rPr>
        <w:tab/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Deciziile de </w:t>
      </w:r>
      <w:r w:rsidR="00DC555A" w:rsidRPr="002F5C4C">
        <w:rPr>
          <w:rFonts w:ascii="Times New Roman" w:eastAsia="TimesNewRomanPSMT" w:hAnsi="Times New Roman"/>
          <w:sz w:val="24"/>
          <w:szCs w:val="24"/>
        </w:rPr>
        <w:t>păstrare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 a ratei dobânzii de politică monetară la </w:t>
      </w:r>
      <w:r w:rsidR="00DC555A" w:rsidRPr="002F5C4C">
        <w:rPr>
          <w:rFonts w:ascii="Times New Roman" w:eastAsia="TimesNewRomanPSMT" w:hAnsi="Times New Roman"/>
          <w:sz w:val="24"/>
          <w:szCs w:val="24"/>
        </w:rPr>
        <w:t>un nivel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 de 5,25 la sută</w:t>
      </w:r>
      <w:r w:rsidR="00305AD3"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DC555A" w:rsidRPr="002F5C4C">
        <w:rPr>
          <w:rFonts w:ascii="Times New Roman" w:eastAsia="TimesNewRomanPSMT" w:hAnsi="Times New Roman"/>
          <w:sz w:val="24"/>
          <w:szCs w:val="24"/>
        </w:rPr>
        <w:t>vreme</w:t>
      </w:r>
      <w:r w:rsidR="00305AD3" w:rsidRPr="002F5C4C">
        <w:rPr>
          <w:rFonts w:ascii="Times New Roman" w:eastAsia="TimesNewRomanPSMT" w:hAnsi="Times New Roman"/>
          <w:sz w:val="24"/>
          <w:szCs w:val="24"/>
        </w:rPr>
        <w:t xml:space="preserve"> de 16 luni (martie 2012-iunie 2013)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>,</w:t>
      </w:r>
      <w:r w:rsidR="00305AD3" w:rsidRPr="002F5C4C">
        <w:rPr>
          <w:rFonts w:ascii="Times New Roman" w:eastAsia="TimesNewRomanPSMT" w:hAnsi="Times New Roman"/>
          <w:sz w:val="24"/>
          <w:szCs w:val="24"/>
        </w:rPr>
        <w:t xml:space="preserve"> au fost </w:t>
      </w:r>
      <w:r w:rsidR="00DC555A" w:rsidRPr="002F5C4C">
        <w:rPr>
          <w:rFonts w:ascii="Times New Roman" w:eastAsia="TimesNewRomanPSMT" w:hAnsi="Times New Roman"/>
          <w:sz w:val="24"/>
          <w:szCs w:val="24"/>
        </w:rPr>
        <w:t>explicate</w:t>
      </w:r>
      <w:r w:rsidR="00305AD3" w:rsidRPr="002F5C4C">
        <w:rPr>
          <w:rFonts w:ascii="Times New Roman" w:eastAsia="TimesNewRomanPSMT" w:hAnsi="Times New Roman"/>
          <w:sz w:val="24"/>
          <w:szCs w:val="24"/>
        </w:rPr>
        <w:t xml:space="preserve"> de amplifi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carea deviaţiei </w:t>
      </w:r>
      <w:r w:rsidR="00305AD3" w:rsidRPr="002F5C4C">
        <w:rPr>
          <w:rFonts w:ascii="Times New Roman" w:eastAsia="TimesNewRomanPSMT" w:hAnsi="Times New Roman"/>
          <w:sz w:val="24"/>
          <w:szCs w:val="24"/>
        </w:rPr>
        <w:t>ratei anuale a infl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aţiei faţă de limita superioară a intervalului ţintei staţionare </w:t>
      </w:r>
      <w:r w:rsidR="00DC555A" w:rsidRPr="002F5C4C">
        <w:rPr>
          <w:rFonts w:ascii="Times New Roman" w:eastAsia="TimesNewRomanPSMT" w:hAnsi="Times New Roman"/>
          <w:sz w:val="24"/>
          <w:szCs w:val="24"/>
        </w:rPr>
        <w:t xml:space="preserve">la începutul anului 2013 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şi de 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lastRenderedPageBreak/>
        <w:t>perspectiva</w:t>
      </w:r>
      <w:r w:rsidR="001A6027" w:rsidRPr="002F5C4C">
        <w:rPr>
          <w:rFonts w:ascii="Times New Roman" w:eastAsia="TimesNewRomanPSMT" w:hAnsi="Times New Roman"/>
          <w:sz w:val="24"/>
          <w:szCs w:val="24"/>
        </w:rPr>
        <w:t xml:space="preserve"> unei prelungiri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 pe termen</w:t>
      </w:r>
      <w:r w:rsidR="00305AD3" w:rsidRPr="002F5C4C">
        <w:rPr>
          <w:rFonts w:ascii="Times New Roman" w:eastAsia="TimesNewRomanPSMT" w:hAnsi="Times New Roman"/>
          <w:sz w:val="24"/>
          <w:szCs w:val="24"/>
        </w:rPr>
        <w:t xml:space="preserve"> scurt a valorii semnifi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cative a acesteia, sub </w:t>
      </w:r>
      <w:r w:rsidR="001A6027" w:rsidRPr="002F5C4C">
        <w:rPr>
          <w:rFonts w:ascii="Times New Roman" w:eastAsia="TimesNewRomanPSMT" w:hAnsi="Times New Roman"/>
          <w:sz w:val="24"/>
          <w:szCs w:val="24"/>
        </w:rPr>
        <w:t>incidenţa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 ajustări</w:t>
      </w:r>
      <w:r w:rsidR="001A6027" w:rsidRPr="002F5C4C">
        <w:rPr>
          <w:rFonts w:ascii="Times New Roman" w:eastAsia="TimesNewRomanPSMT" w:hAnsi="Times New Roman"/>
          <w:sz w:val="24"/>
          <w:szCs w:val="24"/>
        </w:rPr>
        <w:t>lor noi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 de preţuri administrate şi majorări</w:t>
      </w:r>
      <w:r w:rsidR="001A6027" w:rsidRPr="002F5C4C">
        <w:rPr>
          <w:rFonts w:ascii="Times New Roman" w:eastAsia="TimesNewRomanPSMT" w:hAnsi="Times New Roman"/>
          <w:sz w:val="24"/>
          <w:szCs w:val="24"/>
        </w:rPr>
        <w:t>lor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 de accize </w:t>
      </w:r>
      <w:r w:rsidR="001A6027" w:rsidRPr="002F5C4C">
        <w:rPr>
          <w:rFonts w:ascii="Times New Roman" w:eastAsia="TimesNewRomanPSMT" w:hAnsi="Times New Roman"/>
          <w:sz w:val="24"/>
          <w:szCs w:val="24"/>
        </w:rPr>
        <w:t>realizate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 xml:space="preserve"> în luna ianuarie</w:t>
      </w:r>
      <w:r w:rsidR="00305AD3" w:rsidRPr="002F5C4C">
        <w:rPr>
          <w:rFonts w:ascii="Times New Roman" w:eastAsia="TimesNewRomanPSMT" w:hAnsi="Times New Roman"/>
          <w:sz w:val="24"/>
          <w:szCs w:val="24"/>
        </w:rPr>
        <w:t xml:space="preserve"> 2012</w:t>
      </w:r>
      <w:r w:rsidR="009D6BAE" w:rsidRPr="002F5C4C">
        <w:rPr>
          <w:rFonts w:ascii="Times New Roman" w:eastAsia="TimesNewRomanPSMT" w:hAnsi="Times New Roman"/>
          <w:sz w:val="24"/>
          <w:szCs w:val="24"/>
        </w:rPr>
        <w:t>.</w:t>
      </w:r>
    </w:p>
    <w:p w:rsidR="00250C58" w:rsidRPr="002F5C4C" w:rsidRDefault="00842206" w:rsidP="00BB1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ab/>
      </w:r>
      <w:r w:rsidR="008743ED" w:rsidRPr="002F5C4C">
        <w:rPr>
          <w:rFonts w:ascii="Times New Roman" w:hAnsi="Times New Roman"/>
          <w:sz w:val="24"/>
          <w:szCs w:val="24"/>
        </w:rPr>
        <w:t>Cu privire la</w:t>
      </w:r>
      <w:r w:rsidRPr="002F5C4C">
        <w:rPr>
          <w:rFonts w:ascii="Times New Roman" w:hAnsi="Times New Roman"/>
          <w:sz w:val="24"/>
          <w:szCs w:val="24"/>
        </w:rPr>
        <w:t xml:space="preserve"> orientările politicii monetare practicate </w:t>
      </w:r>
      <w:r w:rsidR="008743ED" w:rsidRPr="002F5C4C">
        <w:rPr>
          <w:rFonts w:ascii="Times New Roman" w:hAnsi="Times New Roman"/>
          <w:sz w:val="24"/>
          <w:szCs w:val="24"/>
        </w:rPr>
        <w:t>de BNR,</w:t>
      </w:r>
      <w:r w:rsidR="004F0192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0AAD" w:rsidRPr="002F5C4C">
        <w:rPr>
          <w:rFonts w:ascii="Times New Roman" w:hAnsi="Times New Roman"/>
          <w:sz w:val="24"/>
          <w:szCs w:val="24"/>
          <w:lang w:val="ro-RO"/>
        </w:rPr>
        <w:t xml:space="preserve">politica monetară implementată </w:t>
      </w:r>
      <w:r w:rsidR="008743ED" w:rsidRPr="002F5C4C">
        <w:rPr>
          <w:rFonts w:ascii="Times New Roman" w:hAnsi="Times New Roman"/>
          <w:sz w:val="24"/>
          <w:szCs w:val="24"/>
          <w:lang w:val="ro-RO"/>
        </w:rPr>
        <w:t>vizează, pe termen lung, scăderea</w:t>
      </w:r>
      <w:r w:rsidR="00480AAD" w:rsidRPr="002F5C4C">
        <w:rPr>
          <w:rFonts w:ascii="Times New Roman" w:hAnsi="Times New Roman"/>
          <w:sz w:val="24"/>
          <w:szCs w:val="24"/>
          <w:lang w:val="ro-RO"/>
        </w:rPr>
        <w:t xml:space="preserve"> ratei anuale a inflației către niveluri compatibile cu criteriile BCE. Din </w:t>
      </w:r>
      <w:r w:rsidR="00360B4E" w:rsidRPr="002F5C4C">
        <w:rPr>
          <w:rFonts w:ascii="Times New Roman" w:hAnsi="Times New Roman"/>
          <w:sz w:val="24"/>
          <w:szCs w:val="24"/>
          <w:lang w:val="ro-RO"/>
        </w:rPr>
        <w:t>această perspectivă</w:t>
      </w:r>
      <w:r w:rsidR="00480AAD"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F5C4C">
        <w:rPr>
          <w:rFonts w:ascii="Times New Roman" w:hAnsi="Times New Roman"/>
          <w:sz w:val="24"/>
          <w:szCs w:val="24"/>
          <w:lang w:val="ro-RO"/>
        </w:rPr>
        <w:t>BNR a avut</w:t>
      </w:r>
      <w:r w:rsidR="00480AAD" w:rsidRPr="002F5C4C">
        <w:rPr>
          <w:rFonts w:ascii="Times New Roman" w:hAnsi="Times New Roman"/>
          <w:sz w:val="24"/>
          <w:szCs w:val="24"/>
          <w:lang w:val="ro-RO"/>
        </w:rPr>
        <w:t xml:space="preserve"> în vedere o schimbare </w:t>
      </w:r>
      <w:r w:rsidR="00360B4E" w:rsidRPr="002F5C4C">
        <w:rPr>
          <w:rFonts w:ascii="Times New Roman" w:hAnsi="Times New Roman"/>
          <w:sz w:val="24"/>
          <w:szCs w:val="24"/>
          <w:lang w:val="ro-RO"/>
        </w:rPr>
        <w:t>substanţială a strategiei</w:t>
      </w:r>
      <w:r w:rsidR="00480AAD" w:rsidRPr="002F5C4C">
        <w:rPr>
          <w:rFonts w:ascii="Times New Roman" w:hAnsi="Times New Roman"/>
          <w:sz w:val="24"/>
          <w:szCs w:val="24"/>
          <w:lang w:val="ro-RO"/>
        </w:rPr>
        <w:t xml:space="preserve"> de țintire a inflației. A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ceastă </w:t>
      </w:r>
      <w:r w:rsidR="00360B4E" w:rsidRPr="002F5C4C">
        <w:rPr>
          <w:rFonts w:ascii="Times New Roman" w:hAnsi="Times New Roman"/>
          <w:sz w:val="24"/>
          <w:szCs w:val="24"/>
          <w:lang w:val="ro-RO"/>
        </w:rPr>
        <w:t>modificare considerabilă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a constituit-o</w:t>
      </w:r>
      <w:r w:rsidR="00480AAD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60B4E" w:rsidRPr="002F5C4C">
        <w:rPr>
          <w:rFonts w:ascii="Times New Roman" w:hAnsi="Times New Roman"/>
          <w:sz w:val="24"/>
          <w:szCs w:val="24"/>
          <w:lang w:val="ro-RO"/>
        </w:rPr>
        <w:t>devansarea</w:t>
      </w:r>
      <w:r w:rsidR="00250C58" w:rsidRPr="002F5C4C">
        <w:rPr>
          <w:rFonts w:ascii="Times New Roman" w:hAnsi="Times New Roman"/>
          <w:sz w:val="24"/>
          <w:szCs w:val="24"/>
          <w:lang w:val="ro-RO"/>
        </w:rPr>
        <w:t xml:space="preserve"> etapelor țintelo</w:t>
      </w:r>
      <w:r w:rsidR="00360B4E" w:rsidRPr="002F5C4C">
        <w:rPr>
          <w:rFonts w:ascii="Times New Roman" w:hAnsi="Times New Roman"/>
          <w:sz w:val="24"/>
          <w:szCs w:val="24"/>
          <w:lang w:val="ro-RO"/>
        </w:rPr>
        <w:t>r anuale gradual descrescătoare, alături de o adoptare a</w:t>
      </w:r>
      <w:r w:rsidR="00480AAD" w:rsidRPr="002F5C4C">
        <w:rPr>
          <w:rFonts w:ascii="Times New Roman" w:hAnsi="Times New Roman"/>
          <w:sz w:val="24"/>
          <w:szCs w:val="24"/>
          <w:lang w:val="ro-RO"/>
        </w:rPr>
        <w:t xml:space="preserve"> unei ținte staționare multianuale de inflație de 2,5%±1 pp, începând cu anul 2013.</w:t>
      </w:r>
      <w:r w:rsidR="00F27756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7493F" w:rsidRPr="002F5C4C" w:rsidRDefault="00E96EFC" w:rsidP="00A61C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ab/>
        <w:t>Având în vedere riscuri</w:t>
      </w:r>
      <w:r w:rsidR="000A0ABA" w:rsidRPr="002F5C4C">
        <w:rPr>
          <w:rFonts w:ascii="Times New Roman" w:hAnsi="Times New Roman"/>
          <w:sz w:val="24"/>
          <w:szCs w:val="24"/>
          <w:lang w:val="ro-RO"/>
        </w:rPr>
        <w:t>le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0A0ABA" w:rsidRPr="002F5C4C">
        <w:rPr>
          <w:rFonts w:ascii="Times New Roman" w:hAnsi="Times New Roman"/>
          <w:sz w:val="24"/>
          <w:szCs w:val="24"/>
          <w:lang w:val="ro-RO"/>
        </w:rPr>
        <w:t>lipsa de certitudine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care </w:t>
      </w:r>
      <w:r w:rsidR="000A0ABA" w:rsidRPr="002F5C4C">
        <w:rPr>
          <w:rFonts w:ascii="Times New Roman" w:hAnsi="Times New Roman"/>
          <w:sz w:val="24"/>
          <w:szCs w:val="24"/>
          <w:lang w:val="ro-RO"/>
        </w:rPr>
        <w:t>rezultă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0A0ABA" w:rsidRPr="002F5C4C">
        <w:rPr>
          <w:rFonts w:ascii="Times New Roman" w:hAnsi="Times New Roman"/>
          <w:sz w:val="24"/>
          <w:szCs w:val="24"/>
          <w:lang w:val="ro-RO"/>
        </w:rPr>
        <w:t>actualul context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macroeconomic intern și extern, politica monetară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practicată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de Banca Națională a României își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menţine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caracterul prudent. 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Cu toate acestea, o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conturare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operativă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și viabilă a politicii monetare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se menţine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într-un raport strâns de dependenţă faţă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o implementare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cu rigurozitate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instrumentelor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de consolidare fiscală și a reformelor structurale și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 xml:space="preserve">faţă 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de respectarea angajamentelor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stabilite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cu instituțiile financiare internaționale, cu scopul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preîntâmpinării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creșteri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primei de risc suveran, consolidării inflației și redresării 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>durabile</w:t>
      </w:r>
      <w:r w:rsidR="00F726CC" w:rsidRPr="002F5C4C">
        <w:rPr>
          <w:rFonts w:ascii="Times New Roman" w:hAnsi="Times New Roman"/>
          <w:sz w:val="24"/>
          <w:szCs w:val="24"/>
          <w:lang w:val="ro-RO"/>
        </w:rPr>
        <w:t xml:space="preserve"> a economiei românești. </w:t>
      </w:r>
    </w:p>
    <w:p w:rsidR="00363BBB" w:rsidRPr="002F5C4C" w:rsidRDefault="00363BBB" w:rsidP="00BB163A">
      <w:pPr>
        <w:pStyle w:val="Heading1"/>
        <w:spacing w:before="0" w:beforeAutospacing="0" w:after="0" w:afterAutospacing="0"/>
        <w:jc w:val="both"/>
      </w:pPr>
      <w:bookmarkStart w:id="4" w:name="_Toc358661564"/>
    </w:p>
    <w:p w:rsidR="00653C96" w:rsidRDefault="00A74A4E" w:rsidP="00B04C27">
      <w:pPr>
        <w:pStyle w:val="Heading1"/>
        <w:numPr>
          <w:ilvl w:val="0"/>
          <w:numId w:val="31"/>
        </w:numPr>
        <w:spacing w:before="0" w:beforeAutospacing="0" w:after="0" w:afterAutospacing="0"/>
        <w:ind w:left="1134" w:hanging="425"/>
        <w:jc w:val="both"/>
        <w:rPr>
          <w:lang w:val="ro-RO"/>
        </w:rPr>
      </w:pPr>
      <w:r w:rsidRPr="002F5C4C">
        <w:rPr>
          <w:lang w:val="ro-RO"/>
        </w:rPr>
        <w:t>POLITICA BNR PRIVIND ASIGURAREA PRUDENȚIALITĂȚII ÎN ACTIVITATEA</w:t>
      </w:r>
      <w:r w:rsidR="00595209" w:rsidRPr="002F5C4C">
        <w:rPr>
          <w:lang w:val="ro-RO"/>
        </w:rPr>
        <w:t xml:space="preserve"> </w:t>
      </w:r>
      <w:bookmarkEnd w:id="4"/>
      <w:r w:rsidRPr="002F5C4C">
        <w:rPr>
          <w:lang w:val="ro-RO"/>
        </w:rPr>
        <w:t>BANCARĂ</w:t>
      </w:r>
    </w:p>
    <w:p w:rsidR="00B04C27" w:rsidRPr="002F5C4C" w:rsidRDefault="00B04C27" w:rsidP="00B04C27">
      <w:pPr>
        <w:pStyle w:val="Heading1"/>
        <w:spacing w:before="0" w:beforeAutospacing="0" w:after="0" w:afterAutospacing="0"/>
        <w:ind w:left="1134"/>
        <w:jc w:val="both"/>
        <w:rPr>
          <w:lang w:val="ro-RO"/>
        </w:rPr>
      </w:pPr>
    </w:p>
    <w:p w:rsidR="007B4C12" w:rsidRPr="002F5C4C" w:rsidRDefault="0036478A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  <w:lang w:val="ro-RO"/>
        </w:rPr>
      </w:pP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Aderarea României la Uniunea Europeană a </w:t>
      </w:r>
      <w:r w:rsidR="009361FA"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cauzat intrarea băncilor româneşti 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>în</w:t>
      </w:r>
      <w:r w:rsidR="009361FA" w:rsidRPr="002F5C4C">
        <w:rPr>
          <w:rFonts w:ascii="Times New Roman" w:eastAsia="TimesNewRomanPSMT" w:hAnsi="Times New Roman"/>
          <w:sz w:val="24"/>
          <w:szCs w:val="24"/>
          <w:lang w:val="ro-RO"/>
        </w:rPr>
        <w:t>tr-o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 competiţie directă cu cele străine.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Competiţia din ce în ce mai </w:t>
      </w:r>
      <w:r w:rsidR="009361FA" w:rsidRPr="002F5C4C">
        <w:rPr>
          <w:rFonts w:ascii="Times New Roman" w:eastAsia="TimesNewRomanPSMT" w:hAnsi="Times New Roman"/>
          <w:sz w:val="24"/>
          <w:szCs w:val="24"/>
          <w:lang w:val="ro-RO"/>
        </w:rPr>
        <w:t>puternică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 din sistemul bancar românesc, privatizarea </w:t>
      </w:r>
      <w:r w:rsidR="009361FA"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mediului bancar, alături de 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intrarea capitalului străin au </w:t>
      </w:r>
      <w:r w:rsidR="009361FA" w:rsidRPr="002F5C4C">
        <w:rPr>
          <w:rFonts w:ascii="Times New Roman" w:eastAsia="TimesNewRomanPSMT" w:hAnsi="Times New Roman"/>
          <w:sz w:val="24"/>
          <w:szCs w:val="24"/>
          <w:lang w:val="ro-RO"/>
        </w:rPr>
        <w:t>preschimbat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 </w:t>
      </w:r>
      <w:r w:rsidR="009361FA" w:rsidRPr="002F5C4C">
        <w:rPr>
          <w:rFonts w:ascii="Times New Roman" w:eastAsia="TimesNewRomanPSMT" w:hAnsi="Times New Roman"/>
          <w:sz w:val="24"/>
          <w:szCs w:val="24"/>
          <w:lang w:val="ro-RO"/>
        </w:rPr>
        <w:t>România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 într-</w:t>
      </w:r>
      <w:r w:rsidR="009361FA" w:rsidRPr="002F5C4C">
        <w:rPr>
          <w:rFonts w:ascii="Times New Roman" w:eastAsia="TimesNewRomanPSMT" w:hAnsi="Times New Roman"/>
          <w:sz w:val="24"/>
          <w:szCs w:val="24"/>
          <w:lang w:val="ro-RO"/>
        </w:rPr>
        <w:t>o scenă</w:t>
      </w:r>
      <w:r w:rsidRPr="002F5C4C">
        <w:rPr>
          <w:rFonts w:ascii="Times New Roman" w:eastAsia="TimesNewRomanPSMT" w:hAnsi="Times New Roman"/>
          <w:sz w:val="24"/>
          <w:szCs w:val="24"/>
          <w:lang w:val="ro-RO"/>
        </w:rPr>
        <w:t xml:space="preserve"> pe care se confruntă renumiți jucători de talie mondială.</w:t>
      </w:r>
    </w:p>
    <w:p w:rsidR="00D51238" w:rsidRPr="002F5C4C" w:rsidRDefault="00B04C27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(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 xml:space="preserve">Tabelul nr. </w:t>
      </w:r>
      <w:r w:rsidR="0091577D" w:rsidRPr="002F5C4C">
        <w:rPr>
          <w:rFonts w:ascii="Times New Roman" w:eastAsia="TimesNewRomanPSMT" w:hAnsi="Times New Roman"/>
          <w:sz w:val="24"/>
          <w:szCs w:val="24"/>
        </w:rPr>
        <w:t>1</w:t>
      </w:r>
      <w:r>
        <w:rPr>
          <w:rFonts w:ascii="Times New Roman" w:eastAsia="TimesNewRomanPSMT" w:hAnsi="Times New Roman"/>
          <w:sz w:val="24"/>
          <w:szCs w:val="24"/>
        </w:rPr>
        <w:t>)</w:t>
      </w:r>
      <w:r w:rsidR="0036478A" w:rsidRPr="002F5C4C">
        <w:rPr>
          <w:rFonts w:ascii="Times New Roman" w:eastAsia="TimesNewRomanPSMT" w:hAnsi="Times New Roman"/>
          <w:sz w:val="24"/>
          <w:szCs w:val="24"/>
        </w:rPr>
        <w:t xml:space="preserve"> ilustrează evoluția componenței sistemul bancar românesc pe forma de p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>roprietate în perioada 2006-</w:t>
      </w:r>
      <w:r w:rsidR="00087E1B" w:rsidRPr="002F5C4C">
        <w:rPr>
          <w:rFonts w:ascii="Times New Roman" w:eastAsia="TimesNewRomanPSMT" w:hAnsi="Times New Roman"/>
          <w:sz w:val="24"/>
          <w:szCs w:val="24"/>
        </w:rPr>
        <w:t>2014</w:t>
      </w:r>
      <w:r w:rsidR="0036478A" w:rsidRPr="002F5C4C">
        <w:rPr>
          <w:rFonts w:ascii="Times New Roman" w:eastAsia="TimesNewRomanPSMT" w:hAnsi="Times New Roman"/>
          <w:sz w:val="24"/>
          <w:szCs w:val="24"/>
        </w:rPr>
        <w:t>.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4A608C" w:rsidRPr="002F5C4C">
        <w:rPr>
          <w:rFonts w:ascii="Times New Roman" w:eastAsia="TimesNewRomanPSMT" w:hAnsi="Times New Roman"/>
          <w:sz w:val="24"/>
          <w:szCs w:val="24"/>
        </w:rPr>
        <w:t>În pofida faptului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 xml:space="preserve"> că instituțiile de credit de pe piața bancară românească </w:t>
      </w:r>
      <w:r w:rsidR="004A608C" w:rsidRPr="002F5C4C">
        <w:rPr>
          <w:rFonts w:ascii="Times New Roman" w:eastAsia="TimesNewRomanPSMT" w:hAnsi="Times New Roman"/>
          <w:sz w:val="24"/>
          <w:szCs w:val="24"/>
        </w:rPr>
        <w:t>şi-au desfăşurat activitatea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 xml:space="preserve"> într-un mediu </w:t>
      </w:r>
      <w:r w:rsidR="004A608C" w:rsidRPr="002F5C4C">
        <w:rPr>
          <w:rFonts w:ascii="Times New Roman" w:eastAsia="TimesNewRomanPSMT" w:hAnsi="Times New Roman"/>
          <w:sz w:val="24"/>
          <w:szCs w:val="24"/>
        </w:rPr>
        <w:t>auster și incert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 xml:space="preserve">, structura sistemului bancar nu a </w:t>
      </w:r>
      <w:r w:rsidR="004A608C" w:rsidRPr="002F5C4C">
        <w:rPr>
          <w:rFonts w:ascii="Times New Roman" w:eastAsia="TimesNewRomanPSMT" w:hAnsi="Times New Roman"/>
          <w:sz w:val="24"/>
          <w:szCs w:val="24"/>
        </w:rPr>
        <w:t>suportat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 xml:space="preserve"> modificări </w:t>
      </w:r>
      <w:r w:rsidR="004A608C" w:rsidRPr="002F5C4C">
        <w:rPr>
          <w:rFonts w:ascii="Times New Roman" w:eastAsia="TimesNewRomanPSMT" w:hAnsi="Times New Roman"/>
          <w:sz w:val="24"/>
          <w:szCs w:val="24"/>
        </w:rPr>
        <w:t>însemnate</w:t>
      </w:r>
      <w:r w:rsidR="00D51238" w:rsidRPr="002F5C4C">
        <w:rPr>
          <w:rFonts w:ascii="Times New Roman" w:eastAsia="TimesNewRomanPSMT" w:hAnsi="Times New Roman"/>
          <w:sz w:val="24"/>
          <w:szCs w:val="24"/>
        </w:rPr>
        <w:t>, numărul total oscilând între 39 și 40 pe parcursul intervalului analizat.</w:t>
      </w:r>
    </w:p>
    <w:p w:rsidR="0057318E" w:rsidRPr="00B04C27" w:rsidRDefault="0057318E" w:rsidP="00B04C27">
      <w:pPr>
        <w:pStyle w:val="Caption"/>
        <w:spacing w:after="0" w:line="276" w:lineRule="auto"/>
        <w:jc w:val="center"/>
        <w:rPr>
          <w:rFonts w:ascii="Times New Roman" w:eastAsia="TimesNewRomanPSMT" w:hAnsi="Times New Roman"/>
          <w:color w:val="auto"/>
          <w:sz w:val="20"/>
          <w:szCs w:val="20"/>
        </w:rPr>
      </w:pPr>
      <w:r w:rsidRPr="00B04C27">
        <w:rPr>
          <w:rFonts w:ascii="Times New Roman" w:eastAsia="TimesNewRomanPSMT" w:hAnsi="Times New Roman"/>
          <w:color w:val="auto"/>
          <w:sz w:val="20"/>
          <w:szCs w:val="20"/>
        </w:rPr>
        <w:t>Tabelul 1. Componența sistemului bancar pe forma de proprietate în perioada 2006-2014</w:t>
      </w:r>
    </w:p>
    <w:tbl>
      <w:tblPr>
        <w:tblStyle w:val="MediumList2"/>
        <w:tblW w:w="0" w:type="auto"/>
        <w:jc w:val="center"/>
        <w:tblLook w:val="04A0" w:firstRow="1" w:lastRow="0" w:firstColumn="1" w:lastColumn="0" w:noHBand="0" w:noVBand="1"/>
      </w:tblPr>
      <w:tblGrid>
        <w:gridCol w:w="2577"/>
        <w:gridCol w:w="792"/>
        <w:gridCol w:w="793"/>
        <w:gridCol w:w="738"/>
        <w:gridCol w:w="779"/>
        <w:gridCol w:w="697"/>
        <w:gridCol w:w="832"/>
        <w:gridCol w:w="730"/>
        <w:gridCol w:w="730"/>
        <w:gridCol w:w="620"/>
      </w:tblGrid>
      <w:tr w:rsidR="002F5C4C" w:rsidRPr="00B04C27" w:rsidTr="00B04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</w:p>
        </w:tc>
        <w:tc>
          <w:tcPr>
            <w:tcW w:w="792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2006</w:t>
            </w:r>
          </w:p>
        </w:tc>
        <w:tc>
          <w:tcPr>
            <w:tcW w:w="793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2007</w:t>
            </w:r>
          </w:p>
        </w:tc>
        <w:tc>
          <w:tcPr>
            <w:tcW w:w="738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2008</w:t>
            </w:r>
          </w:p>
        </w:tc>
        <w:tc>
          <w:tcPr>
            <w:tcW w:w="779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2009</w:t>
            </w:r>
          </w:p>
        </w:tc>
        <w:tc>
          <w:tcPr>
            <w:tcW w:w="69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2010</w:t>
            </w:r>
          </w:p>
        </w:tc>
        <w:tc>
          <w:tcPr>
            <w:tcW w:w="832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2011</w:t>
            </w:r>
          </w:p>
        </w:tc>
        <w:tc>
          <w:tcPr>
            <w:tcW w:w="730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2012</w:t>
            </w:r>
          </w:p>
        </w:tc>
        <w:tc>
          <w:tcPr>
            <w:tcW w:w="730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2013</w:t>
            </w:r>
          </w:p>
        </w:tc>
        <w:tc>
          <w:tcPr>
            <w:tcW w:w="620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2014</w:t>
            </w:r>
          </w:p>
        </w:tc>
      </w:tr>
      <w:tr w:rsidR="002F5C4C" w:rsidRPr="00B04C27" w:rsidTr="00B0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Bănci persoane juridice române, din care: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30</w:t>
            </w:r>
          </w:p>
        </w:tc>
      </w:tr>
      <w:tr w:rsidR="002F5C4C" w:rsidRPr="00B04C27" w:rsidTr="00B04C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Bănci cu capital integral sau majoritar de stat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</w:t>
            </w:r>
          </w:p>
        </w:tc>
      </w:tr>
      <w:tr w:rsidR="002F5C4C" w:rsidRPr="00B04C27" w:rsidTr="00B0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Bănci cu capital majoritar privat, din care: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28</w:t>
            </w:r>
          </w:p>
        </w:tc>
      </w:tr>
      <w:tr w:rsidR="002F5C4C" w:rsidRPr="00B04C27" w:rsidTr="00B04C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- cu capital majoritar autohton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</w:t>
            </w:r>
          </w:p>
        </w:tc>
      </w:tr>
      <w:tr w:rsidR="002F5C4C" w:rsidRPr="00B04C27" w:rsidTr="00B0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- cu capital majoritar străin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25</w:t>
            </w:r>
          </w:p>
        </w:tc>
      </w:tr>
      <w:tr w:rsidR="002F5C4C" w:rsidRPr="00B04C27" w:rsidTr="00B04C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Sucursalele băncilor străine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9</w:t>
            </w:r>
          </w:p>
        </w:tc>
      </w:tr>
      <w:tr w:rsidR="002F5C4C" w:rsidRPr="00B04C27" w:rsidTr="00B0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Total bănci și sucursale ale băncilor străine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39</w:t>
            </w:r>
          </w:p>
        </w:tc>
      </w:tr>
      <w:tr w:rsidR="002F5C4C" w:rsidRPr="00B04C27" w:rsidTr="00B04C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B04C27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CREDITCOOP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1</w:t>
            </w:r>
          </w:p>
        </w:tc>
      </w:tr>
      <w:tr w:rsidR="002F5C4C" w:rsidRPr="00B04C27" w:rsidTr="00B0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B04C27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Total instituții de credit</w:t>
            </w:r>
          </w:p>
        </w:tc>
        <w:tc>
          <w:tcPr>
            <w:tcW w:w="79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793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738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779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697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832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73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620" w:type="dxa"/>
            <w:shd w:val="clear" w:color="auto" w:fill="FFFFFF" w:themeFill="background1"/>
          </w:tcPr>
          <w:p w:rsidR="0057318E" w:rsidRPr="00B04C27" w:rsidRDefault="0057318E" w:rsidP="0057318E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</w:pPr>
            <w:r w:rsidRPr="00B04C27">
              <w:rPr>
                <w:rFonts w:ascii="Times New Roman" w:eastAsia="TimesNewRomanPSMT" w:hAnsi="Times New Roman"/>
                <w:color w:val="auto"/>
                <w:sz w:val="20"/>
                <w:szCs w:val="20"/>
              </w:rPr>
              <w:t>40</w:t>
            </w:r>
          </w:p>
        </w:tc>
      </w:tr>
    </w:tbl>
    <w:p w:rsidR="0057318E" w:rsidRPr="00B04C27" w:rsidRDefault="0057318E" w:rsidP="00B04C27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0"/>
          <w:szCs w:val="20"/>
        </w:rPr>
      </w:pPr>
      <w:r w:rsidRPr="00B04C27">
        <w:rPr>
          <w:rFonts w:ascii="Times New Roman" w:eastAsia="TimesNewRomanPSMT" w:hAnsi="Times New Roman"/>
          <w:sz w:val="20"/>
          <w:szCs w:val="20"/>
        </w:rPr>
        <w:t>Sursa: prelucrare după Rapoartele anuale BNR, 2007-2014</w:t>
      </w:r>
    </w:p>
    <w:p w:rsidR="00363BBB" w:rsidRPr="002F5C4C" w:rsidRDefault="00D51238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sz w:val="24"/>
          <w:szCs w:val="24"/>
        </w:rPr>
        <w:t xml:space="preserve">Nivelul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corespunzător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al principalilor indicatori de prudenţă bancară a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îngăduit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sistemului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bancar să facă faţă, fără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impedimente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majore,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caracterului volatile caracteristic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fluxurilor externe de capital,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sporirii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volumului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de credite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neperformante, precum şi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exigenţei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optimizării portofoliilor de credite în vederea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unei bune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 xml:space="preserve">implementări a cadrului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Basel III. </w:t>
      </w:r>
      <w:r w:rsidR="00E47DAF" w:rsidRPr="002F5C4C">
        <w:rPr>
          <w:rFonts w:ascii="Times New Roman" w:eastAsia="TimesNewRomanPSMT" w:hAnsi="Times New Roman"/>
          <w:sz w:val="24"/>
          <w:szCs w:val="24"/>
        </w:rPr>
        <w:t>C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alitatea activelor </w:t>
      </w:r>
      <w:r w:rsidR="00E47DAF" w:rsidRPr="002F5C4C">
        <w:rPr>
          <w:rFonts w:ascii="Times New Roman" w:eastAsia="TimesNewRomanPSMT" w:hAnsi="Times New Roman"/>
          <w:sz w:val="24"/>
          <w:szCs w:val="24"/>
        </w:rPr>
        <w:t>a ridicat probleme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pe parcursul </w:t>
      </w:r>
      <w:r w:rsidR="00B01DFC" w:rsidRPr="002F5C4C">
        <w:rPr>
          <w:rFonts w:ascii="Times New Roman" w:eastAsia="TimesNewRomanPSMT" w:hAnsi="Times New Roman"/>
          <w:sz w:val="24"/>
          <w:szCs w:val="24"/>
        </w:rPr>
        <w:t>ultimilor ani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iar </w:t>
      </w:r>
      <w:r w:rsidR="00E47DAF" w:rsidRPr="002F5C4C">
        <w:rPr>
          <w:rFonts w:ascii="Times New Roman" w:eastAsia="TimesNewRomanPSMT" w:hAnsi="Times New Roman"/>
          <w:sz w:val="24"/>
          <w:szCs w:val="24"/>
        </w:rPr>
        <w:t>contaminarea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externă a </w:t>
      </w:r>
      <w:r w:rsidR="00E47DAF" w:rsidRPr="002F5C4C">
        <w:rPr>
          <w:rFonts w:ascii="Times New Roman" w:eastAsia="TimesNewRomanPSMT" w:hAnsi="Times New Roman"/>
          <w:sz w:val="24"/>
          <w:szCs w:val="24"/>
        </w:rPr>
        <w:t>înfăţişat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unul dintre </w:t>
      </w:r>
      <w:r w:rsidR="00E47DAF" w:rsidRPr="002F5C4C">
        <w:rPr>
          <w:rFonts w:ascii="Times New Roman" w:eastAsia="TimesNewRomanPSMT" w:hAnsi="Times New Roman"/>
          <w:sz w:val="24"/>
          <w:szCs w:val="24"/>
        </w:rPr>
        <w:t>principalele riscuri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la care au fost expuse băncile româneşti. Procesul dezintermedierii </w:t>
      </w:r>
      <w:r w:rsidR="002632C4" w:rsidRPr="002F5C4C">
        <w:rPr>
          <w:rFonts w:ascii="Times New Roman" w:eastAsia="TimesNewRomanPSMT" w:hAnsi="Times New Roman"/>
          <w:sz w:val="24"/>
          <w:szCs w:val="24"/>
        </w:rPr>
        <w:t>răspândit în rândul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2632C4" w:rsidRPr="002F5C4C">
        <w:rPr>
          <w:rFonts w:ascii="Times New Roman" w:eastAsia="TimesNewRomanPSMT" w:hAnsi="Times New Roman"/>
          <w:sz w:val="24"/>
          <w:szCs w:val="24"/>
        </w:rPr>
        <w:t xml:space="preserve">ţărilor din zona euro a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dus la </w:t>
      </w:r>
      <w:r w:rsidR="002632C4" w:rsidRPr="002F5C4C">
        <w:rPr>
          <w:rFonts w:ascii="Times New Roman" w:eastAsia="TimesNewRomanPSMT" w:hAnsi="Times New Roman"/>
          <w:sz w:val="24"/>
          <w:szCs w:val="24"/>
        </w:rPr>
        <w:t>micşorarea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în mod </w:t>
      </w:r>
      <w:r w:rsidR="00D8383A" w:rsidRPr="002F5C4C">
        <w:rPr>
          <w:rFonts w:ascii="Times New Roman" w:eastAsia="TimesNewRomanPSMT" w:hAnsi="Times New Roman"/>
          <w:sz w:val="24"/>
          <w:szCs w:val="24"/>
        </w:rPr>
        <w:t>treptat</w:t>
      </w:r>
      <w:r w:rsidR="002632C4" w:rsidRPr="002F5C4C">
        <w:rPr>
          <w:rFonts w:ascii="Times New Roman" w:eastAsia="TimesNewRomanPSMT" w:hAnsi="Times New Roman"/>
          <w:sz w:val="24"/>
          <w:szCs w:val="24"/>
        </w:rPr>
        <w:t>, a expunerilor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băncilor-mamă </w:t>
      </w:r>
      <w:r w:rsidR="002632C4" w:rsidRPr="002F5C4C">
        <w:rPr>
          <w:rFonts w:ascii="Times New Roman" w:eastAsia="TimesNewRomanPSMT" w:hAnsi="Times New Roman"/>
          <w:sz w:val="24"/>
          <w:szCs w:val="24"/>
        </w:rPr>
        <w:t>în raport cu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fi</w:t>
      </w:r>
      <w:r w:rsidR="00D468B6" w:rsidRPr="002F5C4C">
        <w:rPr>
          <w:rFonts w:ascii="Times New Roman" w:eastAsia="TimesNewRomanPSMT" w:hAnsi="Times New Roman"/>
          <w:sz w:val="24"/>
          <w:szCs w:val="24"/>
        </w:rPr>
        <w:t xml:space="preserve">lialele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din România, </w:t>
      </w:r>
      <w:r w:rsidR="002632C4" w:rsidRPr="002F5C4C">
        <w:rPr>
          <w:rFonts w:ascii="Times New Roman" w:eastAsia="TimesNewRomanPSMT" w:hAnsi="Times New Roman"/>
          <w:sz w:val="24"/>
          <w:szCs w:val="24"/>
        </w:rPr>
        <w:t>dând naştere unor transformări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D468B6" w:rsidRPr="002F5C4C">
        <w:rPr>
          <w:rFonts w:ascii="Times New Roman" w:eastAsia="TimesNewRomanPSMT" w:hAnsi="Times New Roman"/>
          <w:sz w:val="24"/>
          <w:szCs w:val="24"/>
        </w:rPr>
        <w:t>în sistemul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bancar autohton, </w:t>
      </w:r>
      <w:r w:rsidR="00EA53E4" w:rsidRPr="002F5C4C">
        <w:rPr>
          <w:rFonts w:ascii="Times New Roman" w:eastAsia="TimesNewRomanPSMT" w:hAnsi="Times New Roman"/>
          <w:sz w:val="24"/>
          <w:szCs w:val="24"/>
        </w:rPr>
        <w:t>în mod deosebit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 xml:space="preserve"> î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n 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orizontul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volumului şi 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evoluţiei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finanţării externe. Astfel, băncile româneşti 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şi-au îndreptat atenţia către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soluţii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le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de </w:t>
      </w:r>
      <w:r w:rsidRPr="002F5C4C">
        <w:rPr>
          <w:rFonts w:ascii="Times New Roman" w:eastAsia="TimesNewRomanPSMT" w:hAnsi="Times New Roman"/>
          <w:sz w:val="24"/>
          <w:szCs w:val="24"/>
        </w:rPr>
        <w:lastRenderedPageBreak/>
        <w:t xml:space="preserve">administrare a expunerilor neperformante şi 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în mai mică măsură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către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reluarea creditării în 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înprejurări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E018A3" w:rsidRPr="002F5C4C">
        <w:rPr>
          <w:rFonts w:ascii="Times New Roman" w:eastAsia="TimesNewRomanPSMT" w:hAnsi="Times New Roman"/>
          <w:sz w:val="24"/>
          <w:szCs w:val="24"/>
        </w:rPr>
        <w:t>durabile</w:t>
      </w:r>
      <w:r w:rsidRPr="002F5C4C">
        <w:rPr>
          <w:rFonts w:ascii="Times New Roman" w:eastAsia="TimesNewRomanPSMT" w:hAnsi="Times New Roman"/>
          <w:sz w:val="24"/>
          <w:szCs w:val="24"/>
        </w:rPr>
        <w:t>.</w:t>
      </w:r>
    </w:p>
    <w:p w:rsidR="00E97014" w:rsidRPr="002F5C4C" w:rsidRDefault="00E018A3" w:rsidP="00134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sz w:val="24"/>
          <w:szCs w:val="24"/>
        </w:rPr>
        <w:t>În perioada 2007-2015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, sistemul bancar românesc a </w:t>
      </w:r>
      <w:r w:rsidRPr="002F5C4C">
        <w:rPr>
          <w:rFonts w:ascii="Times New Roman" w:eastAsia="TimesNewRomanPSMT" w:hAnsi="Times New Roman"/>
          <w:sz w:val="24"/>
          <w:szCs w:val="24"/>
        </w:rPr>
        <w:t>dispus în continuare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de rezerve consistente de capital, gradul </w:t>
      </w:r>
      <w:r w:rsidRPr="002F5C4C">
        <w:rPr>
          <w:rFonts w:ascii="Times New Roman" w:eastAsia="TimesNewRomanPSMT" w:hAnsi="Times New Roman"/>
          <w:sz w:val="24"/>
          <w:szCs w:val="24"/>
        </w:rPr>
        <w:t>adecvat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de capitalizare fiind </w:t>
      </w:r>
      <w:r w:rsidRPr="002F5C4C">
        <w:rPr>
          <w:rFonts w:ascii="Times New Roman" w:eastAsia="TimesNewRomanPSMT" w:hAnsi="Times New Roman"/>
          <w:sz w:val="24"/>
          <w:szCs w:val="24"/>
        </w:rPr>
        <w:t>sprijinit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şi </w:t>
      </w:r>
      <w:r w:rsidRPr="002F5C4C">
        <w:rPr>
          <w:rFonts w:ascii="Times New Roman" w:eastAsia="TimesNewRomanPSMT" w:hAnsi="Times New Roman"/>
          <w:sz w:val="24"/>
          <w:szCs w:val="24"/>
        </w:rPr>
        <w:t>prin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măsurile de reglementare şi supraveghere prudenţială adoptate de </w:t>
      </w:r>
      <w:r w:rsidRPr="002F5C4C">
        <w:rPr>
          <w:rFonts w:ascii="Times New Roman" w:eastAsia="TimesNewRomanPSMT" w:hAnsi="Times New Roman"/>
          <w:sz w:val="24"/>
          <w:szCs w:val="24"/>
        </w:rPr>
        <w:t>autoritatea monetară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134366" w:rsidRPr="00B04C27" w:rsidRDefault="00134366" w:rsidP="00B04C27">
      <w:pPr>
        <w:pStyle w:val="Caption"/>
        <w:spacing w:after="0" w:line="276" w:lineRule="auto"/>
        <w:jc w:val="center"/>
        <w:rPr>
          <w:rFonts w:ascii="Times New Roman" w:hAnsi="Times New Roman"/>
          <w:color w:val="auto"/>
          <w:sz w:val="20"/>
          <w:szCs w:val="20"/>
        </w:rPr>
      </w:pPr>
      <w:bookmarkStart w:id="5" w:name="_Toc359315041"/>
      <w:r w:rsidRPr="00B04C27">
        <w:rPr>
          <w:rFonts w:ascii="Times New Roman" w:hAnsi="Times New Roman"/>
          <w:color w:val="auto"/>
          <w:sz w:val="20"/>
          <w:szCs w:val="20"/>
        </w:rPr>
        <w:t>Tabelul 2. Evoluția principalilor indicatori de prudență bancară (%)</w:t>
      </w:r>
      <w:bookmarkEnd w:id="5"/>
    </w:p>
    <w:tbl>
      <w:tblPr>
        <w:tblStyle w:val="MediumList2"/>
        <w:tblW w:w="9747" w:type="dxa"/>
        <w:tblLook w:val="04A0" w:firstRow="1" w:lastRow="0" w:firstColumn="1" w:lastColumn="0" w:noHBand="0" w:noVBand="1"/>
      </w:tblPr>
      <w:tblGrid>
        <w:gridCol w:w="2943"/>
        <w:gridCol w:w="851"/>
        <w:gridCol w:w="848"/>
        <w:gridCol w:w="711"/>
        <w:gridCol w:w="992"/>
        <w:gridCol w:w="851"/>
        <w:gridCol w:w="850"/>
        <w:gridCol w:w="851"/>
        <w:gridCol w:w="850"/>
      </w:tblGrid>
      <w:tr w:rsidR="002F5C4C" w:rsidRPr="00B04C27" w:rsidTr="00134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Denumirea indicatorului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2007</w:t>
            </w:r>
          </w:p>
        </w:tc>
        <w:tc>
          <w:tcPr>
            <w:tcW w:w="848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2008</w:t>
            </w:r>
          </w:p>
        </w:tc>
        <w:tc>
          <w:tcPr>
            <w:tcW w:w="71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2009</w:t>
            </w:r>
          </w:p>
        </w:tc>
        <w:tc>
          <w:tcPr>
            <w:tcW w:w="992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2010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2011</w:t>
            </w:r>
          </w:p>
        </w:tc>
        <w:tc>
          <w:tcPr>
            <w:tcW w:w="850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2012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2013</w:t>
            </w:r>
          </w:p>
        </w:tc>
        <w:tc>
          <w:tcPr>
            <w:tcW w:w="850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Dec. 2014</w:t>
            </w:r>
          </w:p>
        </w:tc>
      </w:tr>
      <w:tr w:rsidR="002F5C4C" w:rsidRPr="00B04C27" w:rsidTr="0013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8"/>
            <w:tcBorders>
              <w:right w:val="single" w:sz="4" w:space="0" w:color="FFFFFF" w:themeColor="background1"/>
            </w:tcBorders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Riscul de capital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5C4C" w:rsidRPr="00B04C27" w:rsidTr="00134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Indicatorul de solvabilitate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13,78</w:t>
            </w:r>
          </w:p>
        </w:tc>
        <w:tc>
          <w:tcPr>
            <w:tcW w:w="848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13,76</w:t>
            </w:r>
          </w:p>
        </w:tc>
        <w:tc>
          <w:tcPr>
            <w:tcW w:w="71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14,67</w:t>
            </w:r>
          </w:p>
        </w:tc>
        <w:tc>
          <w:tcPr>
            <w:tcW w:w="992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15,02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14,87</w:t>
            </w:r>
          </w:p>
        </w:tc>
        <w:tc>
          <w:tcPr>
            <w:tcW w:w="850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14,94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15,46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17,59</w:t>
            </w:r>
          </w:p>
        </w:tc>
      </w:tr>
      <w:tr w:rsidR="002F5C4C" w:rsidRPr="00B04C27" w:rsidTr="0013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Efectul de levier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7,32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8,13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7,55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8,11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8,07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8,02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7,96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7,38</w:t>
            </w:r>
          </w:p>
        </w:tc>
      </w:tr>
      <w:tr w:rsidR="002F5C4C" w:rsidRPr="00B04C27" w:rsidTr="00134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8"/>
            <w:tcBorders>
              <w:right w:val="single" w:sz="4" w:space="0" w:color="FFFFFF" w:themeColor="background1"/>
            </w:tcBorders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Riscul de credit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5C4C" w:rsidRPr="00B04C27" w:rsidTr="0013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Credite acordate clientelei (valoare brută)/ Total active (valoare brută)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59,09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62,05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59,13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58,64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59,24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60,78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58,63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56,18</w:t>
            </w:r>
          </w:p>
        </w:tc>
      </w:tr>
      <w:tr w:rsidR="002F5C4C" w:rsidRPr="00B04C27" w:rsidTr="00134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Plasamente și credite interbancare (valoare brută)/ Total active (valoare brută)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29,98</w:t>
            </w:r>
          </w:p>
        </w:tc>
        <w:tc>
          <w:tcPr>
            <w:tcW w:w="848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26,01</w:t>
            </w:r>
          </w:p>
        </w:tc>
        <w:tc>
          <w:tcPr>
            <w:tcW w:w="71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23,03</w:t>
            </w:r>
          </w:p>
        </w:tc>
        <w:tc>
          <w:tcPr>
            <w:tcW w:w="992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19,58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16,90</w:t>
            </w:r>
          </w:p>
        </w:tc>
        <w:tc>
          <w:tcPr>
            <w:tcW w:w="850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14,74</w:t>
            </w:r>
          </w:p>
        </w:tc>
        <w:tc>
          <w:tcPr>
            <w:tcW w:w="851" w:type="dxa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16,24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15,95</w:t>
            </w:r>
          </w:p>
        </w:tc>
      </w:tr>
      <w:tr w:rsidR="002F5C4C" w:rsidRPr="00B04C27" w:rsidTr="0013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Rata riscului de credit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4,0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6,52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15,29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20,82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23,28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29,91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32,14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:</w:t>
            </w:r>
          </w:p>
        </w:tc>
      </w:tr>
      <w:tr w:rsidR="002F5C4C" w:rsidRPr="00B04C27" w:rsidTr="00134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Rata creditelor neperformante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7,89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11,85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14,33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18,24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21,87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:</w:t>
            </w:r>
          </w:p>
        </w:tc>
      </w:tr>
      <w:tr w:rsidR="002F5C4C" w:rsidRPr="00B04C27" w:rsidTr="0013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8"/>
            <w:tcBorders>
              <w:right w:val="single" w:sz="4" w:space="0" w:color="FFFFFF" w:themeColor="background1"/>
            </w:tcBorders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Riscul de lichiditate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5C4C" w:rsidRPr="00B04C27" w:rsidTr="00134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Indicatorul de lichiditate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2,13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2,47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1,38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1,35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1,36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1,57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1,69</w:t>
            </w:r>
          </w:p>
        </w:tc>
      </w:tr>
      <w:tr w:rsidR="002F5C4C" w:rsidRPr="00B04C27" w:rsidTr="0013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Lichiditatea imediată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38,70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34,43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35,28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37,82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37,17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35,88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41,49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41,08</w:t>
            </w:r>
          </w:p>
        </w:tc>
      </w:tr>
      <w:tr w:rsidR="002F5C4C" w:rsidRPr="00B04C27" w:rsidTr="00134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8"/>
            <w:tcBorders>
              <w:right w:val="single" w:sz="4" w:space="0" w:color="FFFFFF" w:themeColor="background1"/>
            </w:tcBorders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Profitabilitatea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F5C4C" w:rsidRPr="00B04C27" w:rsidTr="0013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ROA (Profit net/ Total active)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1,01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1,56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-0,16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-0,23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-0,64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-1,32</w:t>
            </w:r>
          </w:p>
        </w:tc>
      </w:tr>
      <w:tr w:rsidR="002F5C4C" w:rsidRPr="00B04C27" w:rsidTr="00134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34366" w:rsidRPr="00B04C27" w:rsidRDefault="00134366" w:rsidP="00846473">
            <w:pPr>
              <w:pStyle w:val="Heading2"/>
              <w:spacing w:line="276" w:lineRule="auto"/>
              <w:outlineLvl w:val="1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ROE (Profit net/ Capitaluri proprii)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9,43</w:t>
            </w:r>
          </w:p>
        </w:tc>
        <w:tc>
          <w:tcPr>
            <w:tcW w:w="848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17,04</w:t>
            </w:r>
          </w:p>
        </w:tc>
        <w:tc>
          <w:tcPr>
            <w:tcW w:w="71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2,89</w:t>
            </w:r>
          </w:p>
        </w:tc>
        <w:tc>
          <w:tcPr>
            <w:tcW w:w="992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-1,73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-2,56</w:t>
            </w:r>
          </w:p>
        </w:tc>
        <w:tc>
          <w:tcPr>
            <w:tcW w:w="850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-5,92</w:t>
            </w:r>
          </w:p>
        </w:tc>
        <w:tc>
          <w:tcPr>
            <w:tcW w:w="851" w:type="dxa"/>
            <w:shd w:val="clear" w:color="auto" w:fill="FFFFFF" w:themeFill="background1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0,13</w:t>
            </w:r>
          </w:p>
        </w:tc>
        <w:tc>
          <w:tcPr>
            <w:tcW w:w="850" w:type="dxa"/>
            <w:shd w:val="clear" w:color="auto" w:fill="auto"/>
          </w:tcPr>
          <w:p w:rsidR="00134366" w:rsidRPr="00B04C27" w:rsidRDefault="00134366" w:rsidP="00846473">
            <w:pPr>
              <w:pStyle w:val="Heading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04C27">
              <w:rPr>
                <w:color w:val="auto"/>
                <w:sz w:val="20"/>
                <w:szCs w:val="20"/>
              </w:rPr>
              <w:t>-12,45</w:t>
            </w:r>
          </w:p>
        </w:tc>
      </w:tr>
    </w:tbl>
    <w:p w:rsidR="00134366" w:rsidRPr="00B04C27" w:rsidRDefault="00134366" w:rsidP="00B04C27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B04C27">
        <w:rPr>
          <w:rFonts w:ascii="Times New Roman" w:hAnsi="Times New Roman"/>
          <w:sz w:val="20"/>
          <w:szCs w:val="20"/>
        </w:rPr>
        <w:t>Notă: “:” – lips</w:t>
      </w:r>
      <w:r w:rsidRPr="00B04C27">
        <w:rPr>
          <w:rFonts w:ascii="Times New Roman" w:hAnsi="Times New Roman"/>
          <w:sz w:val="20"/>
          <w:szCs w:val="20"/>
          <w:lang w:val="ro-RO"/>
        </w:rPr>
        <w:t>ă date</w:t>
      </w:r>
    </w:p>
    <w:p w:rsidR="00134366" w:rsidRPr="002F5C4C" w:rsidRDefault="00134366" w:rsidP="00B04C27">
      <w:pPr>
        <w:pStyle w:val="Heading2"/>
        <w:spacing w:line="276" w:lineRule="auto"/>
        <w:jc w:val="left"/>
        <w:rPr>
          <w:sz w:val="20"/>
          <w:szCs w:val="20"/>
        </w:rPr>
      </w:pPr>
      <w:r w:rsidRPr="00B04C27">
        <w:rPr>
          <w:sz w:val="20"/>
          <w:szCs w:val="20"/>
        </w:rPr>
        <w:t xml:space="preserve">Sursa: prelucrare după </w:t>
      </w:r>
      <w:bookmarkStart w:id="6" w:name="_Toc358661567"/>
      <w:r w:rsidR="00787220" w:rsidRPr="00B04C27">
        <w:rPr>
          <w:sz w:val="20"/>
          <w:szCs w:val="20"/>
        </w:rPr>
        <w:t>Rapoartele anuale BNR, 2008</w:t>
      </w:r>
      <w:r w:rsidRPr="00B04C27">
        <w:rPr>
          <w:sz w:val="20"/>
          <w:szCs w:val="20"/>
        </w:rPr>
        <w:t>-201</w:t>
      </w:r>
      <w:r w:rsidRPr="002F5C4C">
        <w:rPr>
          <w:sz w:val="20"/>
          <w:szCs w:val="20"/>
        </w:rPr>
        <w:t>4</w:t>
      </w:r>
      <w:bookmarkEnd w:id="6"/>
    </w:p>
    <w:p w:rsidR="00D8628A" w:rsidRPr="002F5C4C" w:rsidRDefault="0060677D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bookmarkStart w:id="7" w:name="_Toc358661571"/>
      <w:r w:rsidRPr="002F5C4C">
        <w:rPr>
          <w:rFonts w:ascii="Times New Roman" w:eastAsia="TimesNewRomanPSMT" w:hAnsi="Times New Roman"/>
          <w:sz w:val="24"/>
          <w:szCs w:val="24"/>
        </w:rPr>
        <w:t xml:space="preserve">Astfel, conform </w:t>
      </w:r>
      <w:r w:rsidR="00B04C27">
        <w:rPr>
          <w:rFonts w:ascii="Times New Roman" w:eastAsia="TimesNewRomanPSMT" w:hAnsi="Times New Roman"/>
          <w:sz w:val="24"/>
          <w:szCs w:val="24"/>
        </w:rPr>
        <w:t>(</w:t>
      </w:r>
      <w:r w:rsidRPr="002F5C4C">
        <w:rPr>
          <w:rFonts w:ascii="Times New Roman" w:eastAsia="TimesNewRomanPSMT" w:hAnsi="Times New Roman"/>
          <w:sz w:val="24"/>
          <w:szCs w:val="24"/>
        </w:rPr>
        <w:t>tabelului nr. 2</w:t>
      </w:r>
      <w:r w:rsidR="00B04C27">
        <w:rPr>
          <w:rFonts w:ascii="Times New Roman" w:eastAsia="TimesNewRomanPSMT" w:hAnsi="Times New Roman"/>
          <w:sz w:val="24"/>
          <w:szCs w:val="24"/>
        </w:rPr>
        <w:t>)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indicatorul de solvabilitate s-a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plasat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în medie, cu mult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deasupra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pragul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ui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reglementat la nivel naţional şi european (8%),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după cum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şi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dincolo de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cel prudenţial (10 %) recomandat de Banca Naţională a României odată cu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resimţirea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pe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F5C4C">
        <w:rPr>
          <w:rFonts w:ascii="Times New Roman" w:eastAsia="TimesNewRomanPSMT" w:hAnsi="Times New Roman"/>
          <w:sz w:val="24"/>
          <w:szCs w:val="24"/>
        </w:rPr>
        <w:t>plan inter</w:t>
      </w:r>
      <w:r w:rsidR="00B9318D" w:rsidRPr="002F5C4C">
        <w:rPr>
          <w:rFonts w:ascii="Times New Roman" w:eastAsia="TimesNewRomanPSMT" w:hAnsi="Times New Roman"/>
          <w:sz w:val="24"/>
          <w:szCs w:val="24"/>
        </w:rPr>
        <w:t>n a efectelor crizei economico-</w:t>
      </w:r>
      <w:r w:rsidRPr="002F5C4C">
        <w:rPr>
          <w:rFonts w:ascii="Times New Roman" w:eastAsia="TimesNewRomanPSMT" w:hAnsi="Times New Roman"/>
          <w:sz w:val="24"/>
          <w:szCs w:val="24"/>
        </w:rPr>
        <w:t>financiare internaţionale (</w:t>
      </w:r>
      <w:r w:rsidR="00B9318D" w:rsidRPr="002F5C4C">
        <w:rPr>
          <w:rFonts w:ascii="Times New Roman" w:eastAsia="TimesNewRomanPSMT" w:hAnsi="Times New Roman"/>
          <w:sz w:val="24"/>
          <w:szCs w:val="24"/>
        </w:rPr>
        <w:t>17,59</w:t>
      </w:r>
      <w:r w:rsidRPr="002F5C4C">
        <w:rPr>
          <w:rFonts w:ascii="Times New Roman" w:eastAsia="TimesNewRomanPSMT" w:hAnsi="Times New Roman"/>
          <w:sz w:val="24"/>
          <w:szCs w:val="24"/>
        </w:rPr>
        <w:t>% la fi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nele anului 2014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în creştere cu </w:t>
      </w:r>
      <w:r w:rsidR="00B9318D" w:rsidRPr="002F5C4C">
        <w:rPr>
          <w:rFonts w:ascii="Times New Roman" w:eastAsia="TimesNewRomanPSMT" w:hAnsi="Times New Roman"/>
          <w:sz w:val="24"/>
          <w:szCs w:val="24"/>
        </w:rPr>
        <w:t>2,13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puncte procentuale faţă de anul anterior). Efectul de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levier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,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calculat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ca raport între fondurile proprii de nivel 1 şi valoarea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 xml:space="preserve"> medie a activelor, a fost de 7,38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%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(decembrie 2014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),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consemnând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o uşoară 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scădere (cu 0,58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puncte pro</w:t>
      </w:r>
      <w:r w:rsidR="00B21F70" w:rsidRPr="002F5C4C">
        <w:rPr>
          <w:rFonts w:ascii="Times New Roman" w:eastAsia="TimesNewRomanPSMT" w:hAnsi="Times New Roman"/>
          <w:sz w:val="24"/>
          <w:szCs w:val="24"/>
        </w:rPr>
        <w:t>centuale) faţă de decembrie 2013.</w:t>
      </w:r>
    </w:p>
    <w:p w:rsidR="0060677D" w:rsidRPr="002F5C4C" w:rsidRDefault="002B2E65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sz w:val="24"/>
          <w:szCs w:val="24"/>
        </w:rPr>
        <w:t>Contracţia stocului de credite şi constrângerile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impuse de situaţia fi</w:t>
      </w:r>
      <w:r w:rsidRPr="002F5C4C">
        <w:rPr>
          <w:rFonts w:ascii="Times New Roman" w:eastAsia="TimesNewRomanPSMT" w:hAnsi="Times New Roman"/>
          <w:sz w:val="24"/>
          <w:szCs w:val="24"/>
        </w:rPr>
        <w:t>nanciară a clienţilor au determinat o înrăutăţire a principalilor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indicatori de evalu</w:t>
      </w:r>
      <w:r w:rsidRPr="002F5C4C">
        <w:rPr>
          <w:rFonts w:ascii="Times New Roman" w:eastAsia="TimesNewRomanPSMT" w:hAnsi="Times New Roman"/>
          <w:sz w:val="24"/>
          <w:szCs w:val="24"/>
        </w:rPr>
        <w:t>are a calităţii portofoliului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>. Astfel, rata creditelor neperformante –indicator</w:t>
      </w:r>
      <w:r w:rsidR="00134366" w:rsidRPr="002F5C4C">
        <w:rPr>
          <w:rFonts w:ascii="Times New Roman" w:eastAsia="TimesNewRomanPSMT" w:hAnsi="Times New Roman"/>
          <w:sz w:val="24"/>
          <w:szCs w:val="24"/>
        </w:rPr>
        <w:t>ul principal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de evaluare a calităţii portofoliilor de credite, din perspectivă prudenţială – a </w:t>
      </w:r>
      <w:r w:rsidR="00134366" w:rsidRPr="002F5C4C">
        <w:rPr>
          <w:rFonts w:ascii="Times New Roman" w:eastAsia="TimesNewRomanPSMT" w:hAnsi="Times New Roman"/>
          <w:sz w:val="24"/>
          <w:szCs w:val="24"/>
        </w:rPr>
        <w:t>crescut fără întrerupere, atingând un nivel de 21,87% la sfârşitul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anului 2013. </w:t>
      </w:r>
    </w:p>
    <w:p w:rsidR="00D8628A" w:rsidRPr="002F5C4C" w:rsidRDefault="002B2E65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sz w:val="24"/>
          <w:szCs w:val="24"/>
        </w:rPr>
        <w:t>Evoluţia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indicatorilor de evaluare a riscului de lichiditate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indică o lichiditate adecvată a 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sectorul</w:t>
      </w:r>
      <w:r w:rsidRPr="002F5C4C">
        <w:rPr>
          <w:rFonts w:ascii="Times New Roman" w:eastAsia="TimesNewRomanPSMT" w:hAnsi="Times New Roman"/>
          <w:sz w:val="24"/>
          <w:szCs w:val="24"/>
        </w:rPr>
        <w:t>ui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bancar, nivelul </w:t>
      </w:r>
      <w:r w:rsidRPr="002F5C4C">
        <w:rPr>
          <w:rFonts w:ascii="Times New Roman" w:eastAsia="TimesNewRomanPSMT" w:hAnsi="Times New Roman"/>
          <w:sz w:val="24"/>
          <w:szCs w:val="24"/>
        </w:rPr>
        <w:t>indicatorilor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F5C4C">
        <w:rPr>
          <w:rFonts w:ascii="Times New Roman" w:eastAsia="TimesNewRomanPSMT" w:hAnsi="Times New Roman"/>
          <w:sz w:val="24"/>
          <w:szCs w:val="24"/>
        </w:rPr>
        <w:t>dovedind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existenţa rezerve</w:t>
      </w:r>
      <w:r w:rsidRPr="002F5C4C">
        <w:rPr>
          <w:rFonts w:ascii="Times New Roman" w:eastAsia="TimesNewRomanPSMT" w:hAnsi="Times New Roman"/>
          <w:sz w:val="24"/>
          <w:szCs w:val="24"/>
        </w:rPr>
        <w:t>lor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pentru acoperirea eventualelor dezechilibre care pot </w:t>
      </w:r>
      <w:r w:rsidRPr="002F5C4C">
        <w:rPr>
          <w:rFonts w:ascii="Times New Roman" w:eastAsia="TimesNewRomanPSMT" w:hAnsi="Times New Roman"/>
          <w:sz w:val="24"/>
          <w:szCs w:val="24"/>
        </w:rPr>
        <w:t>surveni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F5C4C">
        <w:rPr>
          <w:rFonts w:ascii="Times New Roman" w:eastAsia="TimesNewRomanPSMT" w:hAnsi="Times New Roman"/>
          <w:sz w:val="24"/>
          <w:szCs w:val="24"/>
        </w:rPr>
        <w:t>în urma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unor retrageri anticipate de resurse. </w:t>
      </w:r>
      <w:r w:rsidR="003B4562" w:rsidRPr="002F5C4C">
        <w:rPr>
          <w:rFonts w:ascii="Times New Roman" w:eastAsia="TimesNewRomanPSMT" w:hAnsi="Times New Roman"/>
          <w:sz w:val="24"/>
          <w:szCs w:val="24"/>
        </w:rPr>
        <w:t>Păstrarea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unor niveluri </w:t>
      </w:r>
      <w:r w:rsidRPr="002F5C4C">
        <w:rPr>
          <w:rFonts w:ascii="Times New Roman" w:eastAsia="TimesNewRomanPSMT" w:hAnsi="Times New Roman"/>
          <w:sz w:val="24"/>
          <w:szCs w:val="24"/>
        </w:rPr>
        <w:t>corespunzătoare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ale lichidităţii </w:t>
      </w:r>
      <w:r w:rsidR="003B4562" w:rsidRPr="002F5C4C">
        <w:rPr>
          <w:rFonts w:ascii="Times New Roman" w:eastAsia="TimesNewRomanPSMT" w:hAnsi="Times New Roman"/>
          <w:sz w:val="24"/>
          <w:szCs w:val="24"/>
        </w:rPr>
        <w:t>înseamnă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, de altfel, o </w:t>
      </w:r>
      <w:r w:rsidR="003B4562" w:rsidRPr="002F5C4C">
        <w:rPr>
          <w:rFonts w:ascii="Times New Roman" w:eastAsia="TimesNewRomanPSMT" w:hAnsi="Times New Roman"/>
          <w:sz w:val="24"/>
          <w:szCs w:val="24"/>
        </w:rPr>
        <w:t>cerinţă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</w:t>
      </w:r>
      <w:r w:rsidR="003B4562" w:rsidRPr="002F5C4C">
        <w:rPr>
          <w:rFonts w:ascii="Times New Roman" w:eastAsia="TimesNewRomanPSMT" w:hAnsi="Times New Roman"/>
          <w:sz w:val="24"/>
          <w:szCs w:val="24"/>
        </w:rPr>
        <w:t>indispensabilă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pentru ca </w:t>
      </w:r>
      <w:r w:rsidR="003B4562" w:rsidRPr="002F5C4C">
        <w:rPr>
          <w:rFonts w:ascii="Times New Roman" w:eastAsia="TimesNewRomanPSMT" w:hAnsi="Times New Roman"/>
          <w:sz w:val="24"/>
          <w:szCs w:val="24"/>
        </w:rPr>
        <w:t>mediul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bancar autohton să </w:t>
      </w:r>
      <w:r w:rsidR="003B4562" w:rsidRPr="002F5C4C">
        <w:rPr>
          <w:rFonts w:ascii="Times New Roman" w:eastAsia="TimesNewRomanPSMT" w:hAnsi="Times New Roman"/>
          <w:sz w:val="24"/>
          <w:szCs w:val="24"/>
        </w:rPr>
        <w:t>poată face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faţă unor evoluţii </w:t>
      </w:r>
      <w:r w:rsidR="003B4562" w:rsidRPr="002F5C4C">
        <w:rPr>
          <w:rFonts w:ascii="Times New Roman" w:eastAsia="TimesNewRomanPSMT" w:hAnsi="Times New Roman"/>
          <w:sz w:val="24"/>
          <w:szCs w:val="24"/>
        </w:rPr>
        <w:t>potrivnice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>, inclusiv de natură externă.</w:t>
      </w:r>
    </w:p>
    <w:p w:rsidR="0060677D" w:rsidRPr="002F5C4C" w:rsidRDefault="003B4562" w:rsidP="00BB1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2F5C4C">
        <w:rPr>
          <w:rFonts w:ascii="Times New Roman" w:eastAsia="TimesNewRomanPSMT" w:hAnsi="Times New Roman"/>
          <w:sz w:val="24"/>
          <w:szCs w:val="24"/>
        </w:rPr>
        <w:t>S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istemul bancar românesc a </w:t>
      </w:r>
      <w:r w:rsidRPr="002F5C4C">
        <w:rPr>
          <w:rFonts w:ascii="Times New Roman" w:eastAsia="TimesNewRomanPSMT" w:hAnsi="Times New Roman"/>
          <w:sz w:val="24"/>
          <w:szCs w:val="24"/>
        </w:rPr>
        <w:t>izbutit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să îşi </w:t>
      </w:r>
      <w:r w:rsidRPr="002F5C4C">
        <w:rPr>
          <w:rFonts w:ascii="Times New Roman" w:eastAsia="TimesNewRomanPSMT" w:hAnsi="Times New Roman"/>
          <w:sz w:val="24"/>
          <w:szCs w:val="24"/>
        </w:rPr>
        <w:t>îmbunătăţească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profitabilitatea pe parcursul anului 2013, obţinând un rezultat financiar pozitiv</w:t>
      </w:r>
      <w:r w:rsidRPr="002F5C4C">
        <w:rPr>
          <w:rFonts w:ascii="Times New Roman" w:eastAsia="TimesNewRomanPSMT" w:hAnsi="Times New Roman"/>
          <w:sz w:val="24"/>
          <w:szCs w:val="24"/>
        </w:rPr>
        <w:t>, după trei ani caracterizaţi de pierderi financiare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. </w:t>
      </w:r>
      <w:r w:rsidRPr="002F5C4C">
        <w:rPr>
          <w:rFonts w:ascii="Times New Roman" w:eastAsia="TimesNewRomanPSMT" w:hAnsi="Times New Roman"/>
          <w:sz w:val="24"/>
          <w:szCs w:val="24"/>
        </w:rPr>
        <w:t>Această r</w:t>
      </w:r>
      <w:r w:rsidR="00087E1B" w:rsidRPr="002F5C4C">
        <w:rPr>
          <w:rFonts w:ascii="Times New Roman" w:eastAsia="TimesNewRomanPSMT" w:hAnsi="Times New Roman"/>
          <w:sz w:val="24"/>
          <w:szCs w:val="24"/>
        </w:rPr>
        <w:t>evenire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 în rândul valorilor pozitive </w:t>
      </w:r>
      <w:r w:rsidR="00087E1B" w:rsidRPr="002F5C4C">
        <w:rPr>
          <w:rFonts w:ascii="Times New Roman" w:eastAsia="TimesNewRomanPSMT" w:hAnsi="Times New Roman"/>
          <w:sz w:val="24"/>
          <w:szCs w:val="24"/>
        </w:rPr>
        <w:t>a rezultatului fi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nanciar a </w:t>
      </w:r>
      <w:r w:rsidRPr="002F5C4C">
        <w:rPr>
          <w:rFonts w:ascii="Times New Roman" w:eastAsia="TimesNewRomanPSMT" w:hAnsi="Times New Roman"/>
          <w:sz w:val="24"/>
          <w:szCs w:val="24"/>
        </w:rPr>
        <w:t>determinat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 xml:space="preserve"> şi </w:t>
      </w:r>
      <w:r w:rsidRPr="002F5C4C">
        <w:rPr>
          <w:rFonts w:ascii="Times New Roman" w:eastAsia="TimesNewRomanPSMT" w:hAnsi="Times New Roman"/>
          <w:sz w:val="24"/>
          <w:szCs w:val="24"/>
        </w:rPr>
        <w:t xml:space="preserve">amplasarea </w:t>
      </w:r>
      <w:r w:rsidR="0060677D" w:rsidRPr="002F5C4C">
        <w:rPr>
          <w:rFonts w:ascii="Times New Roman" w:eastAsia="TimesNewRomanPSMT" w:hAnsi="Times New Roman"/>
          <w:sz w:val="24"/>
          <w:szCs w:val="24"/>
        </w:rPr>
        <w:t>peste zero a principalilor indicatori de profitabilitate la nivel agregat (rata rentabilităţii financiare – ROE şi rata rentabilităţii economice – ROA).</w:t>
      </w:r>
    </w:p>
    <w:bookmarkEnd w:id="7"/>
    <w:p w:rsidR="000C11CB" w:rsidRPr="002F5C4C" w:rsidRDefault="00E56676" w:rsidP="00BB163A">
      <w:pPr>
        <w:pStyle w:val="Heading2"/>
        <w:spacing w:line="240" w:lineRule="auto"/>
        <w:rPr>
          <w:lang w:val="ro-RO"/>
        </w:rPr>
      </w:pPr>
      <w:r w:rsidRPr="002F5C4C">
        <w:rPr>
          <w:b/>
        </w:rPr>
        <w:tab/>
      </w:r>
      <w:r w:rsidR="003B4562" w:rsidRPr="002F5C4C">
        <w:rPr>
          <w:lang w:val="ro-RO"/>
        </w:rPr>
        <w:t>M</w:t>
      </w:r>
      <w:r w:rsidRPr="002F5C4C">
        <w:rPr>
          <w:lang w:val="ro-RO"/>
        </w:rPr>
        <w:t>odificările și completările legislative care reglementează activitatea bancară</w:t>
      </w:r>
      <w:r w:rsidR="003B4562" w:rsidRPr="002F5C4C">
        <w:rPr>
          <w:lang w:val="ro-RO"/>
        </w:rPr>
        <w:t xml:space="preserve"> reprezintă un alt pas important în </w:t>
      </w:r>
      <w:r w:rsidR="003B4562" w:rsidRPr="002F5C4C">
        <w:t>restructurarea sistemului bancar rom</w:t>
      </w:r>
      <w:r w:rsidR="00331A9B" w:rsidRPr="002F5C4C">
        <w:rPr>
          <w:lang w:val="ro-RO"/>
        </w:rPr>
        <w:t xml:space="preserve">ânesc, având </w:t>
      </w:r>
      <w:r w:rsidR="003B4562" w:rsidRPr="002F5C4C">
        <w:rPr>
          <w:lang w:val="ro-RO"/>
        </w:rPr>
        <w:t>c</w:t>
      </w:r>
      <w:r w:rsidR="00331A9B" w:rsidRPr="002F5C4C">
        <w:rPr>
          <w:lang w:val="ro-RO"/>
        </w:rPr>
        <w:t xml:space="preserve">a </w:t>
      </w:r>
      <w:r w:rsidR="003B4562" w:rsidRPr="002F5C4C">
        <w:rPr>
          <w:lang w:val="ro-RO"/>
        </w:rPr>
        <w:t xml:space="preserve">rezultat întărirea </w:t>
      </w:r>
      <w:r w:rsidR="003B4562" w:rsidRPr="002F5C4C">
        <w:rPr>
          <w:lang w:val="ro-RO"/>
        </w:rPr>
        <w:lastRenderedPageBreak/>
        <w:t>supravegherii prudențiale exercitată de către Banca Națională a României</w:t>
      </w:r>
      <w:r w:rsidRPr="002F5C4C">
        <w:rPr>
          <w:lang w:val="ro-RO"/>
        </w:rPr>
        <w:t xml:space="preserve">. </w:t>
      </w:r>
      <w:r w:rsidR="00FF31E9" w:rsidRPr="002F5C4C">
        <w:rPr>
          <w:lang w:val="ro-RO"/>
        </w:rPr>
        <w:t>În acest sens, a avut loc o  înăsprire a exigențelor</w:t>
      </w:r>
      <w:r w:rsidR="000C11CB" w:rsidRPr="002F5C4C">
        <w:rPr>
          <w:lang w:val="ro-RO"/>
        </w:rPr>
        <w:t xml:space="preserve"> privitoare la autorizarea </w:t>
      </w:r>
      <w:r w:rsidR="00FF31E9" w:rsidRPr="002F5C4C">
        <w:rPr>
          <w:lang w:val="ro-RO"/>
        </w:rPr>
        <w:t>directorilor</w:t>
      </w:r>
      <w:r w:rsidR="000C11CB" w:rsidRPr="002F5C4C">
        <w:rPr>
          <w:lang w:val="ro-RO"/>
        </w:rPr>
        <w:t xml:space="preserve">, administratorilor și acționarilor băncilor comerciale, s-au </w:t>
      </w:r>
      <w:r w:rsidR="00FF31E9" w:rsidRPr="002F5C4C">
        <w:rPr>
          <w:lang w:val="ro-RO"/>
        </w:rPr>
        <w:t>aşezat</w:t>
      </w:r>
      <w:r w:rsidR="000C11CB" w:rsidRPr="002F5C4C">
        <w:rPr>
          <w:lang w:val="ro-RO"/>
        </w:rPr>
        <w:t xml:space="preserve"> bazele legale </w:t>
      </w:r>
      <w:r w:rsidR="00FF31E9" w:rsidRPr="002F5C4C">
        <w:rPr>
          <w:lang w:val="ro-RO"/>
        </w:rPr>
        <w:t xml:space="preserve">aferente </w:t>
      </w:r>
      <w:r w:rsidR="000C11CB" w:rsidRPr="002F5C4C">
        <w:rPr>
          <w:lang w:val="ro-RO"/>
        </w:rPr>
        <w:t xml:space="preserve">relațiilor de colaborare dintre BNR și autoritățile de supraveghere naționale și internaționale, </w:t>
      </w:r>
      <w:r w:rsidR="00FF31E9" w:rsidRPr="002F5C4C">
        <w:rPr>
          <w:lang w:val="ro-RO"/>
        </w:rPr>
        <w:t>a avut loc o aliniere</w:t>
      </w:r>
      <w:r w:rsidR="000C11CB" w:rsidRPr="002F5C4C">
        <w:rPr>
          <w:lang w:val="ro-RO"/>
        </w:rPr>
        <w:t xml:space="preserve"> la standardele internaționale </w:t>
      </w:r>
      <w:r w:rsidR="00FF31E9" w:rsidRPr="002F5C4C">
        <w:rPr>
          <w:lang w:val="ro-RO"/>
        </w:rPr>
        <w:t>a prevederilor</w:t>
      </w:r>
      <w:r w:rsidR="000C11CB" w:rsidRPr="002F5C4C">
        <w:rPr>
          <w:lang w:val="ro-RO"/>
        </w:rPr>
        <w:t xml:space="preserve"> care reglementează protecția consumatorului și </w:t>
      </w:r>
      <w:r w:rsidR="00FF31E9" w:rsidRPr="002F5C4C">
        <w:rPr>
          <w:lang w:val="ro-RO"/>
        </w:rPr>
        <w:t>s-au modificat și îmbunătățit procedurile</w:t>
      </w:r>
      <w:r w:rsidR="000C11CB" w:rsidRPr="002F5C4C">
        <w:rPr>
          <w:lang w:val="ro-RO"/>
        </w:rPr>
        <w:t xml:space="preserve"> în domeniul falimentului bancar și al protecției deponenților.</w:t>
      </w:r>
      <w:r w:rsidR="00F674F7" w:rsidRPr="002F5C4C">
        <w:rPr>
          <w:lang w:val="ro-RO"/>
        </w:rPr>
        <w:t xml:space="preserve"> </w:t>
      </w:r>
      <w:r w:rsidR="00A800C5" w:rsidRPr="002F5C4C">
        <w:rPr>
          <w:lang w:val="ro-RO"/>
        </w:rPr>
        <w:t xml:space="preserve"> </w:t>
      </w:r>
    </w:p>
    <w:p w:rsidR="001B55A2" w:rsidRPr="002F5C4C" w:rsidRDefault="001B55A2" w:rsidP="00BB163A">
      <w:pPr>
        <w:pStyle w:val="Heading2"/>
        <w:spacing w:line="240" w:lineRule="auto"/>
        <w:rPr>
          <w:lang w:val="ro-RO"/>
        </w:rPr>
      </w:pPr>
      <w:r w:rsidRPr="002F5C4C">
        <w:rPr>
          <w:lang w:val="ro-RO"/>
        </w:rPr>
        <w:tab/>
      </w:r>
      <w:r w:rsidR="00FF31E9" w:rsidRPr="002F5C4C">
        <w:rPr>
          <w:lang w:val="ro-RO"/>
        </w:rPr>
        <w:t>De asemenea, s</w:t>
      </w:r>
      <w:r w:rsidRPr="002F5C4C">
        <w:rPr>
          <w:lang w:val="ro-RO"/>
        </w:rPr>
        <w:t xml:space="preserve">upravegherea </w:t>
      </w:r>
      <w:r w:rsidR="006F4A5A" w:rsidRPr="002F5C4C">
        <w:rPr>
          <w:lang w:val="ro-RO"/>
        </w:rPr>
        <w:t>de tip</w:t>
      </w:r>
      <w:r w:rsidRPr="002F5C4C">
        <w:rPr>
          <w:lang w:val="ro-RO"/>
        </w:rPr>
        <w:t xml:space="preserve"> </w:t>
      </w:r>
      <w:r w:rsidR="00387F50" w:rsidRPr="002F5C4C">
        <w:rPr>
          <w:i/>
          <w:lang w:val="ro-RO"/>
        </w:rPr>
        <w:t>on-</w:t>
      </w:r>
      <w:r w:rsidRPr="002F5C4C">
        <w:rPr>
          <w:i/>
          <w:lang w:val="ro-RO"/>
        </w:rPr>
        <w:t>site</w:t>
      </w:r>
      <w:r w:rsidRPr="002F5C4C">
        <w:rPr>
          <w:lang w:val="ro-RO"/>
        </w:rPr>
        <w:t xml:space="preserve"> a </w:t>
      </w:r>
      <w:r w:rsidR="006C0729" w:rsidRPr="002F5C4C">
        <w:rPr>
          <w:lang w:val="ro-RO"/>
        </w:rPr>
        <w:t xml:space="preserve">înregistrat </w:t>
      </w:r>
      <w:r w:rsidRPr="002F5C4C">
        <w:rPr>
          <w:lang w:val="ro-RO"/>
        </w:rPr>
        <w:t xml:space="preserve">modificări </w:t>
      </w:r>
      <w:r w:rsidR="006C0729" w:rsidRPr="002F5C4C">
        <w:rPr>
          <w:lang w:val="ro-RO"/>
        </w:rPr>
        <w:t>nuanţate</w:t>
      </w:r>
      <w:r w:rsidRPr="002F5C4C">
        <w:rPr>
          <w:lang w:val="ro-RO"/>
        </w:rPr>
        <w:t xml:space="preserve"> începând cu anul 1999, </w:t>
      </w:r>
      <w:r w:rsidR="006C0729" w:rsidRPr="002F5C4C">
        <w:rPr>
          <w:lang w:val="ro-RO"/>
        </w:rPr>
        <w:t>cuprinzând fiecare instituție de credit</w:t>
      </w:r>
      <w:r w:rsidRPr="002F5C4C">
        <w:rPr>
          <w:lang w:val="ro-RO"/>
        </w:rPr>
        <w:t xml:space="preserve"> în procesul de supraveghere cel puțin o dată pe an. </w:t>
      </w:r>
      <w:r w:rsidR="006C0729" w:rsidRPr="002F5C4C">
        <w:rPr>
          <w:lang w:val="ro-RO"/>
        </w:rPr>
        <w:t>Pe lângă aceasta,</w:t>
      </w:r>
      <w:r w:rsidRPr="002F5C4C">
        <w:rPr>
          <w:lang w:val="ro-RO"/>
        </w:rPr>
        <w:t xml:space="preserve"> activitatea de supraveghere </w:t>
      </w:r>
      <w:r w:rsidR="006C0729" w:rsidRPr="002F5C4C">
        <w:rPr>
          <w:lang w:val="ro-RO"/>
        </w:rPr>
        <w:t xml:space="preserve">de tip </w:t>
      </w:r>
      <w:r w:rsidR="00387F50" w:rsidRPr="002F5C4C">
        <w:rPr>
          <w:i/>
          <w:lang w:val="ro-RO"/>
        </w:rPr>
        <w:t>off-</w:t>
      </w:r>
      <w:r w:rsidRPr="002F5C4C">
        <w:rPr>
          <w:i/>
          <w:lang w:val="ro-RO"/>
        </w:rPr>
        <w:t>site</w:t>
      </w:r>
      <w:r w:rsidRPr="002F5C4C">
        <w:rPr>
          <w:lang w:val="ro-RO"/>
        </w:rPr>
        <w:t xml:space="preserve"> a </w:t>
      </w:r>
      <w:r w:rsidR="006C0729" w:rsidRPr="002F5C4C">
        <w:rPr>
          <w:lang w:val="ro-RO"/>
        </w:rPr>
        <w:t>semnalat</w:t>
      </w:r>
      <w:r w:rsidRPr="002F5C4C">
        <w:rPr>
          <w:lang w:val="ro-RO"/>
        </w:rPr>
        <w:t xml:space="preserve"> modificări calititative, BNR </w:t>
      </w:r>
      <w:r w:rsidR="006C0729" w:rsidRPr="002F5C4C">
        <w:rPr>
          <w:lang w:val="ro-RO"/>
        </w:rPr>
        <w:t>implementând</w:t>
      </w:r>
      <w:r w:rsidRPr="002F5C4C">
        <w:rPr>
          <w:lang w:val="ro-RO"/>
        </w:rPr>
        <w:t xml:space="preserve"> în </w:t>
      </w:r>
      <w:r w:rsidR="006C0729" w:rsidRPr="002F5C4C">
        <w:rPr>
          <w:lang w:val="ro-RO"/>
        </w:rPr>
        <w:t>anul 1999 s</w:t>
      </w:r>
      <w:r w:rsidRPr="002F5C4C">
        <w:rPr>
          <w:lang w:val="ro-RO"/>
        </w:rPr>
        <w:t>istem</w:t>
      </w:r>
      <w:r w:rsidR="006C0729" w:rsidRPr="002F5C4C">
        <w:rPr>
          <w:lang w:val="ro-RO"/>
        </w:rPr>
        <w:t>ul</w:t>
      </w:r>
      <w:r w:rsidRPr="002F5C4C">
        <w:rPr>
          <w:lang w:val="ro-RO"/>
        </w:rPr>
        <w:t xml:space="preserve"> </w:t>
      </w:r>
      <w:r w:rsidR="006C0729" w:rsidRPr="002F5C4C">
        <w:rPr>
          <w:lang w:val="ro-RO"/>
        </w:rPr>
        <w:t>uniform de rating bancar și de avertizare t</w:t>
      </w:r>
      <w:r w:rsidRPr="002F5C4C">
        <w:rPr>
          <w:lang w:val="ro-RO"/>
        </w:rPr>
        <w:t xml:space="preserve">impurie (CAAMPL), instrument </w:t>
      </w:r>
      <w:r w:rsidR="006C0729" w:rsidRPr="002F5C4C">
        <w:rPr>
          <w:lang w:val="ro-RO"/>
        </w:rPr>
        <w:t>completat</w:t>
      </w:r>
      <w:r w:rsidRPr="002F5C4C">
        <w:rPr>
          <w:lang w:val="ro-RO"/>
        </w:rPr>
        <w:t xml:space="preserve"> și </w:t>
      </w:r>
      <w:r w:rsidR="006C0729" w:rsidRPr="002F5C4C">
        <w:rPr>
          <w:lang w:val="ro-RO"/>
        </w:rPr>
        <w:t>optimizat</w:t>
      </w:r>
      <w:r w:rsidRPr="002F5C4C">
        <w:rPr>
          <w:lang w:val="ro-RO"/>
        </w:rPr>
        <w:t xml:space="preserve"> </w:t>
      </w:r>
      <w:r w:rsidR="006C0729" w:rsidRPr="002F5C4C">
        <w:rPr>
          <w:lang w:val="ro-RO"/>
        </w:rPr>
        <w:t>fără întrerupere</w:t>
      </w:r>
      <w:r w:rsidRPr="002F5C4C">
        <w:rPr>
          <w:lang w:val="ro-RO"/>
        </w:rPr>
        <w:t xml:space="preserve"> </w:t>
      </w:r>
      <w:r w:rsidR="006C0729" w:rsidRPr="002F5C4C">
        <w:rPr>
          <w:lang w:val="ro-RO"/>
        </w:rPr>
        <w:t>cu scopul determinării</w:t>
      </w:r>
      <w:r w:rsidRPr="002F5C4C">
        <w:rPr>
          <w:lang w:val="ro-RO"/>
        </w:rPr>
        <w:t xml:space="preserve"> profilului de risc al instituțiilor de credit.</w:t>
      </w:r>
    </w:p>
    <w:p w:rsidR="00803DC5" w:rsidRPr="002F5C4C" w:rsidRDefault="00803DC5" w:rsidP="00BB163A">
      <w:pPr>
        <w:pStyle w:val="Heading2"/>
        <w:spacing w:line="240" w:lineRule="auto"/>
        <w:rPr>
          <w:lang w:val="ro-RO"/>
        </w:rPr>
      </w:pPr>
      <w:r w:rsidRPr="002F5C4C">
        <w:rPr>
          <w:lang w:val="ro-RO"/>
        </w:rPr>
        <w:tab/>
      </w:r>
      <w:r w:rsidR="00A800C5" w:rsidRPr="002F5C4C">
        <w:rPr>
          <w:lang w:val="ro-RO"/>
        </w:rPr>
        <w:t xml:space="preserve">De asemenea, </w:t>
      </w:r>
      <w:r w:rsidR="00766152" w:rsidRPr="002F5C4C">
        <w:rPr>
          <w:lang w:val="ro-RO"/>
        </w:rPr>
        <w:t xml:space="preserve">având în vedere extinderea din ce în ce mai mare din ultimii ani a </w:t>
      </w:r>
      <w:r w:rsidRPr="002F5C4C">
        <w:rPr>
          <w:lang w:val="ro-RO"/>
        </w:rPr>
        <w:t>instituți</w:t>
      </w:r>
      <w:r w:rsidR="00766152" w:rsidRPr="002F5C4C">
        <w:rPr>
          <w:lang w:val="ro-RO"/>
        </w:rPr>
        <w:t>ilor</w:t>
      </w:r>
      <w:r w:rsidRPr="002F5C4C">
        <w:rPr>
          <w:lang w:val="ro-RO"/>
        </w:rPr>
        <w:t xml:space="preserve"> financiare nebancare pe piața financiară românească, aria de supraveghere și reglamentare a băncii centrale a fost </w:t>
      </w:r>
      <w:r w:rsidR="00766152" w:rsidRPr="002F5C4C">
        <w:rPr>
          <w:lang w:val="ro-RO"/>
        </w:rPr>
        <w:t>lărgită</w:t>
      </w:r>
      <w:r w:rsidRPr="002F5C4C">
        <w:rPr>
          <w:lang w:val="ro-RO"/>
        </w:rPr>
        <w:t xml:space="preserve"> și asupra acestora.</w:t>
      </w:r>
    </w:p>
    <w:p w:rsidR="00A800C5" w:rsidRPr="002F5C4C" w:rsidRDefault="00A800C5" w:rsidP="00BB163A">
      <w:pPr>
        <w:pStyle w:val="Heading1"/>
        <w:spacing w:before="0" w:beforeAutospacing="0" w:after="0" w:afterAutospacing="0"/>
        <w:rPr>
          <w:lang w:val="ro-RO"/>
        </w:rPr>
      </w:pPr>
      <w:bookmarkStart w:id="8" w:name="_Toc358661579"/>
    </w:p>
    <w:p w:rsidR="00AA3CCC" w:rsidRDefault="00AA3CCC" w:rsidP="00B04C27">
      <w:pPr>
        <w:pStyle w:val="Heading1"/>
        <w:numPr>
          <w:ilvl w:val="0"/>
          <w:numId w:val="31"/>
        </w:numPr>
        <w:spacing w:before="0" w:beforeAutospacing="0" w:after="0" w:afterAutospacing="0"/>
        <w:ind w:left="1134" w:hanging="425"/>
        <w:rPr>
          <w:lang w:val="ro-RO"/>
        </w:rPr>
      </w:pPr>
      <w:r w:rsidRPr="002F5C4C">
        <w:rPr>
          <w:lang w:val="ro-RO"/>
        </w:rPr>
        <w:t>C</w:t>
      </w:r>
      <w:bookmarkEnd w:id="8"/>
      <w:r w:rsidR="00CA2F4F" w:rsidRPr="002F5C4C">
        <w:rPr>
          <w:lang w:val="ro-RO"/>
        </w:rPr>
        <w:t>ONCLUZII</w:t>
      </w:r>
    </w:p>
    <w:p w:rsidR="00B04C27" w:rsidRPr="002F5C4C" w:rsidRDefault="00B04C27" w:rsidP="00B04C27">
      <w:pPr>
        <w:pStyle w:val="Heading1"/>
        <w:spacing w:before="0" w:beforeAutospacing="0" w:after="0" w:afterAutospacing="0"/>
        <w:ind w:left="709"/>
        <w:rPr>
          <w:lang w:val="ro-RO"/>
        </w:rPr>
      </w:pPr>
    </w:p>
    <w:p w:rsidR="000E44BA" w:rsidRPr="002F5C4C" w:rsidRDefault="006C3B24" w:rsidP="00BB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ab/>
      </w:r>
      <w:r w:rsidR="00AF57D6" w:rsidRPr="002F5C4C">
        <w:rPr>
          <w:rFonts w:ascii="Times New Roman" w:hAnsi="Times New Roman"/>
          <w:sz w:val="24"/>
          <w:szCs w:val="24"/>
          <w:lang w:val="ro-RO"/>
        </w:rPr>
        <w:t xml:space="preserve">Prin realizarea </w:t>
      </w:r>
      <w:r w:rsidR="008F26F5" w:rsidRPr="002F5C4C">
        <w:rPr>
          <w:rFonts w:ascii="Times New Roman" w:hAnsi="Times New Roman"/>
          <w:sz w:val="24"/>
          <w:szCs w:val="24"/>
          <w:lang w:val="ro-RO"/>
        </w:rPr>
        <w:t>lucrării</w:t>
      </w:r>
      <w:r w:rsidR="00AF57D6" w:rsidRPr="002F5C4C">
        <w:rPr>
          <w:rFonts w:ascii="Times New Roman" w:hAnsi="Times New Roman"/>
          <w:sz w:val="24"/>
          <w:szCs w:val="24"/>
          <w:lang w:val="ro-RO"/>
        </w:rPr>
        <w:t xml:space="preserve"> de față s-a urmărit evidențierea rolului Băncii Naționale a României în menținerea viabilității</w:t>
      </w:r>
      <w:r w:rsidR="00766152" w:rsidRPr="002F5C4C">
        <w:rPr>
          <w:rFonts w:ascii="Times New Roman" w:hAnsi="Times New Roman"/>
          <w:sz w:val="24"/>
          <w:szCs w:val="24"/>
          <w:lang w:val="ro-RO"/>
        </w:rPr>
        <w:t xml:space="preserve"> și eficacităţii</w:t>
      </w:r>
      <w:r w:rsidR="00AF57D6" w:rsidRPr="002F5C4C">
        <w:rPr>
          <w:rFonts w:ascii="Times New Roman" w:hAnsi="Times New Roman"/>
          <w:sz w:val="24"/>
          <w:szCs w:val="24"/>
          <w:lang w:val="ro-RO"/>
        </w:rPr>
        <w:t xml:space="preserve"> sistemului bancar, și implicit sistemului economic în întregul său.  </w:t>
      </w:r>
    </w:p>
    <w:p w:rsidR="00A800C5" w:rsidRPr="002F5C4C" w:rsidRDefault="00A800C5" w:rsidP="00A800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De-a lungul ultimului deceniu, BNR a aplicat o politică anticiclică, folosindu-se de toate instrumentele </w:t>
      </w:r>
      <w:r w:rsidR="00D64238" w:rsidRPr="002F5C4C">
        <w:rPr>
          <w:rFonts w:ascii="Times New Roman" w:hAnsi="Times New Roman"/>
          <w:sz w:val="24"/>
          <w:szCs w:val="24"/>
          <w:lang w:val="ro-RO"/>
        </w:rPr>
        <w:t>care îi stau la dispoziţie</w:t>
      </w:r>
      <w:r w:rsidRPr="002F5C4C">
        <w:rPr>
          <w:rFonts w:ascii="Times New Roman" w:hAnsi="Times New Roman"/>
          <w:sz w:val="24"/>
          <w:szCs w:val="24"/>
          <w:lang w:val="ro-RO"/>
        </w:rPr>
        <w:t>.</w:t>
      </w:r>
      <w:r w:rsidR="00D64238" w:rsidRPr="002F5C4C">
        <w:rPr>
          <w:rFonts w:ascii="Times New Roman" w:hAnsi="Times New Roman"/>
          <w:sz w:val="24"/>
          <w:szCs w:val="24"/>
          <w:lang w:val="ro-RO"/>
        </w:rPr>
        <w:t xml:space="preserve"> Astfel, în vederea contracarării atitudinii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64238" w:rsidRPr="002F5C4C">
        <w:rPr>
          <w:rFonts w:ascii="Times New Roman" w:hAnsi="Times New Roman"/>
          <w:sz w:val="24"/>
          <w:szCs w:val="24"/>
        </w:rPr>
        <w:t>strategiilor şi deciziilor</w:t>
      </w:r>
      <w:r w:rsidRPr="002F5C4C">
        <w:rPr>
          <w:rFonts w:ascii="Times New Roman" w:hAnsi="Times New Roman"/>
          <w:sz w:val="24"/>
          <w:szCs w:val="24"/>
        </w:rPr>
        <w:t xml:space="preserve"> prociclice </w:t>
      </w:r>
      <w:r w:rsidR="00D64238" w:rsidRPr="002F5C4C">
        <w:rPr>
          <w:rFonts w:ascii="Times New Roman" w:hAnsi="Times New Roman"/>
          <w:sz w:val="24"/>
          <w:szCs w:val="24"/>
        </w:rPr>
        <w:t>caracteristice</w:t>
      </w:r>
      <w:r w:rsidRPr="002F5C4C">
        <w:rPr>
          <w:rFonts w:ascii="Times New Roman" w:hAnsi="Times New Roman"/>
          <w:sz w:val="24"/>
          <w:szCs w:val="24"/>
        </w:rPr>
        <w:t xml:space="preserve"> băncilo</w:t>
      </w:r>
      <w:r w:rsidR="00D64238" w:rsidRPr="002F5C4C">
        <w:rPr>
          <w:rFonts w:ascii="Times New Roman" w:hAnsi="Times New Roman"/>
          <w:sz w:val="24"/>
          <w:szCs w:val="24"/>
        </w:rPr>
        <w:t>r comerciale, implicit riscurilor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D64238" w:rsidRPr="002F5C4C">
        <w:rPr>
          <w:rFonts w:ascii="Times New Roman" w:hAnsi="Times New Roman"/>
          <w:sz w:val="24"/>
          <w:szCs w:val="24"/>
        </w:rPr>
        <w:t>survenite</w:t>
      </w:r>
      <w:r w:rsidRPr="002F5C4C">
        <w:rPr>
          <w:rFonts w:ascii="Times New Roman" w:hAnsi="Times New Roman"/>
          <w:sz w:val="24"/>
          <w:szCs w:val="24"/>
        </w:rPr>
        <w:t xml:space="preserve"> în economie, BNR a </w:t>
      </w:r>
      <w:r w:rsidR="00D64238" w:rsidRPr="002F5C4C">
        <w:rPr>
          <w:rFonts w:ascii="Times New Roman" w:hAnsi="Times New Roman"/>
          <w:sz w:val="24"/>
          <w:szCs w:val="24"/>
        </w:rPr>
        <w:t>implementat</w:t>
      </w:r>
      <w:r w:rsidRPr="002F5C4C">
        <w:rPr>
          <w:rFonts w:ascii="Times New Roman" w:hAnsi="Times New Roman"/>
          <w:sz w:val="24"/>
          <w:szCs w:val="24"/>
        </w:rPr>
        <w:t xml:space="preserve"> o </w:t>
      </w:r>
      <w:r w:rsidR="00D64238" w:rsidRPr="002F5C4C">
        <w:rPr>
          <w:rFonts w:ascii="Times New Roman" w:hAnsi="Times New Roman"/>
          <w:sz w:val="24"/>
          <w:szCs w:val="24"/>
        </w:rPr>
        <w:t>politică</w:t>
      </w:r>
      <w:r w:rsidRPr="002F5C4C">
        <w:rPr>
          <w:rFonts w:ascii="Times New Roman" w:hAnsi="Times New Roman"/>
          <w:sz w:val="24"/>
          <w:szCs w:val="24"/>
        </w:rPr>
        <w:t xml:space="preserve"> anticiclică, atât în ceea ce priveşte faza de boom, cât şi în faza de recesiune. Această atitudine a fost aplicată atât </w:t>
      </w:r>
      <w:r w:rsidR="00D64238" w:rsidRPr="002F5C4C">
        <w:rPr>
          <w:rFonts w:ascii="Times New Roman" w:hAnsi="Times New Roman"/>
          <w:sz w:val="24"/>
          <w:szCs w:val="24"/>
        </w:rPr>
        <w:t>în ceea ce priveşte</w:t>
      </w:r>
      <w:r w:rsidRPr="002F5C4C">
        <w:rPr>
          <w:rFonts w:ascii="Times New Roman" w:hAnsi="Times New Roman"/>
          <w:sz w:val="24"/>
          <w:szCs w:val="24"/>
        </w:rPr>
        <w:t xml:space="preserve"> la politica monetară, cât şi </w:t>
      </w:r>
      <w:r w:rsidR="00D64238" w:rsidRPr="002F5C4C">
        <w:rPr>
          <w:rFonts w:ascii="Times New Roman" w:hAnsi="Times New Roman"/>
          <w:sz w:val="24"/>
          <w:szCs w:val="24"/>
        </w:rPr>
        <w:t>politica</w:t>
      </w:r>
      <w:r w:rsidRPr="002F5C4C">
        <w:rPr>
          <w:rFonts w:ascii="Times New Roman" w:hAnsi="Times New Roman"/>
          <w:sz w:val="24"/>
          <w:szCs w:val="24"/>
        </w:rPr>
        <w:t xml:space="preserve"> prudenţială.</w:t>
      </w:r>
    </w:p>
    <w:p w:rsidR="000704EF" w:rsidRPr="002F5C4C" w:rsidRDefault="000704EF" w:rsidP="00A800C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</w:rPr>
        <w:t xml:space="preserve">Considerăm </w:t>
      </w:r>
      <w:r w:rsidR="001D2E42" w:rsidRPr="002F5C4C">
        <w:rPr>
          <w:rFonts w:ascii="Times New Roman" w:hAnsi="Times New Roman"/>
          <w:sz w:val="24"/>
          <w:szCs w:val="24"/>
        </w:rPr>
        <w:t>cât se poate</w:t>
      </w:r>
      <w:r w:rsidRPr="002F5C4C">
        <w:rPr>
          <w:rFonts w:ascii="Times New Roman" w:hAnsi="Times New Roman"/>
          <w:sz w:val="24"/>
          <w:szCs w:val="24"/>
        </w:rPr>
        <w:t xml:space="preserve"> de importantă </w:t>
      </w:r>
      <w:r w:rsidR="00164D9B" w:rsidRPr="002F5C4C">
        <w:rPr>
          <w:rFonts w:ascii="Times New Roman" w:hAnsi="Times New Roman"/>
          <w:sz w:val="24"/>
          <w:szCs w:val="24"/>
        </w:rPr>
        <w:t>continuarea implementării</w:t>
      </w:r>
      <w:r w:rsidRPr="002F5C4C">
        <w:rPr>
          <w:rFonts w:ascii="Times New Roman" w:hAnsi="Times New Roman"/>
          <w:sz w:val="24"/>
          <w:szCs w:val="24"/>
        </w:rPr>
        <w:t xml:space="preserve"> în sistemul bancar românesc a unor măsuri </w:t>
      </w:r>
      <w:r w:rsidR="001D2E42" w:rsidRPr="002F5C4C">
        <w:rPr>
          <w:rFonts w:ascii="Times New Roman" w:hAnsi="Times New Roman"/>
          <w:sz w:val="24"/>
          <w:szCs w:val="24"/>
        </w:rPr>
        <w:t>necesare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1D2E42" w:rsidRPr="002F5C4C">
        <w:rPr>
          <w:rFonts w:ascii="Times New Roman" w:hAnsi="Times New Roman"/>
          <w:sz w:val="24"/>
          <w:szCs w:val="24"/>
        </w:rPr>
        <w:t>consolidării bazelor</w:t>
      </w:r>
      <w:r w:rsidRPr="002F5C4C">
        <w:rPr>
          <w:rFonts w:ascii="Times New Roman" w:hAnsi="Times New Roman"/>
          <w:sz w:val="24"/>
          <w:szCs w:val="24"/>
        </w:rPr>
        <w:t xml:space="preserve"> de capital, care să se </w:t>
      </w:r>
      <w:r w:rsidR="001D2E42" w:rsidRPr="002F5C4C">
        <w:rPr>
          <w:rFonts w:ascii="Times New Roman" w:hAnsi="Times New Roman"/>
          <w:sz w:val="24"/>
          <w:szCs w:val="24"/>
        </w:rPr>
        <w:t>centreze</w:t>
      </w:r>
      <w:r w:rsidRPr="002F5C4C">
        <w:rPr>
          <w:rFonts w:ascii="Times New Roman" w:hAnsi="Times New Roman"/>
          <w:sz w:val="24"/>
          <w:szCs w:val="24"/>
        </w:rPr>
        <w:t xml:space="preserve"> </w:t>
      </w:r>
      <w:r w:rsidR="001D2E42" w:rsidRPr="002F5C4C">
        <w:rPr>
          <w:rFonts w:ascii="Times New Roman" w:hAnsi="Times New Roman"/>
          <w:sz w:val="24"/>
          <w:szCs w:val="24"/>
        </w:rPr>
        <w:t>mai ales</w:t>
      </w:r>
      <w:r w:rsidRPr="002F5C4C">
        <w:rPr>
          <w:rFonts w:ascii="Times New Roman" w:hAnsi="Times New Roman"/>
          <w:sz w:val="24"/>
          <w:szCs w:val="24"/>
        </w:rPr>
        <w:t xml:space="preserve"> asupra procesului de recapitalizare pentru a-i </w:t>
      </w:r>
      <w:r w:rsidR="001D2E42" w:rsidRPr="002F5C4C">
        <w:rPr>
          <w:rFonts w:ascii="Times New Roman" w:hAnsi="Times New Roman"/>
          <w:sz w:val="24"/>
          <w:szCs w:val="24"/>
        </w:rPr>
        <w:t>păstra</w:t>
      </w:r>
      <w:r w:rsidRPr="002F5C4C">
        <w:rPr>
          <w:rFonts w:ascii="Times New Roman" w:hAnsi="Times New Roman"/>
          <w:sz w:val="24"/>
          <w:szCs w:val="24"/>
        </w:rPr>
        <w:t xml:space="preserve"> soliditatea și implicit, pregătirea condițiilor </w:t>
      </w:r>
      <w:r w:rsidR="001D2E42" w:rsidRPr="002F5C4C">
        <w:rPr>
          <w:rFonts w:ascii="Times New Roman" w:hAnsi="Times New Roman"/>
          <w:sz w:val="24"/>
          <w:szCs w:val="24"/>
        </w:rPr>
        <w:t>indispensabile</w:t>
      </w:r>
      <w:r w:rsidRPr="002F5C4C">
        <w:rPr>
          <w:rFonts w:ascii="Times New Roman" w:hAnsi="Times New Roman"/>
          <w:sz w:val="24"/>
          <w:szCs w:val="24"/>
        </w:rPr>
        <w:t xml:space="preserve"> adoptării cadru</w:t>
      </w:r>
      <w:r w:rsidR="001D2E42" w:rsidRPr="002F5C4C">
        <w:rPr>
          <w:rFonts w:ascii="Times New Roman" w:hAnsi="Times New Roman"/>
          <w:sz w:val="24"/>
          <w:szCs w:val="24"/>
        </w:rPr>
        <w:t>lui nou</w:t>
      </w:r>
      <w:r w:rsidRPr="002F5C4C">
        <w:rPr>
          <w:rFonts w:ascii="Times New Roman" w:hAnsi="Times New Roman"/>
          <w:sz w:val="24"/>
          <w:szCs w:val="24"/>
        </w:rPr>
        <w:t xml:space="preserve"> de reglementare macroprudențială Basel III.</w:t>
      </w:r>
    </w:p>
    <w:p w:rsidR="007B5172" w:rsidRPr="002F5C4C" w:rsidRDefault="000704EF" w:rsidP="00A800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De asemenea, a</w:t>
      </w:r>
      <w:r w:rsidR="00B54A67" w:rsidRPr="002F5C4C">
        <w:rPr>
          <w:rFonts w:ascii="Times New Roman" w:hAnsi="Times New Roman"/>
          <w:sz w:val="24"/>
          <w:szCs w:val="24"/>
          <w:lang w:val="ro-RO"/>
        </w:rPr>
        <w:t>vând la bază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 analiza efectuată, </w:t>
      </w:r>
      <w:r w:rsidR="008F26F5" w:rsidRPr="002F5C4C">
        <w:rPr>
          <w:rFonts w:ascii="Times New Roman" w:hAnsi="Times New Roman"/>
          <w:sz w:val="24"/>
          <w:szCs w:val="24"/>
          <w:lang w:val="ro-RO"/>
        </w:rPr>
        <w:t>o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2E42" w:rsidRPr="002F5C4C">
        <w:rPr>
          <w:rFonts w:ascii="Times New Roman" w:hAnsi="Times New Roman"/>
          <w:sz w:val="24"/>
          <w:szCs w:val="24"/>
          <w:lang w:val="ro-RO"/>
        </w:rPr>
        <w:t>însemnătate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4A67" w:rsidRPr="002F5C4C">
        <w:rPr>
          <w:rFonts w:ascii="Times New Roman" w:hAnsi="Times New Roman"/>
          <w:sz w:val="24"/>
          <w:szCs w:val="24"/>
          <w:lang w:val="ro-RO"/>
        </w:rPr>
        <w:t>deosebită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2E42" w:rsidRPr="002F5C4C">
        <w:rPr>
          <w:rFonts w:ascii="Times New Roman" w:hAnsi="Times New Roman"/>
          <w:sz w:val="24"/>
          <w:szCs w:val="24"/>
          <w:lang w:val="ro-RO"/>
        </w:rPr>
        <w:t>i se cuvine</w:t>
      </w:r>
      <w:r w:rsidR="008F26F5" w:rsidRPr="002F5C4C">
        <w:rPr>
          <w:rFonts w:ascii="Times New Roman" w:hAnsi="Times New Roman"/>
          <w:sz w:val="24"/>
          <w:szCs w:val="24"/>
          <w:lang w:val="ro-RO"/>
        </w:rPr>
        <w:t xml:space="preserve"> necesității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 unei reglementări </w:t>
      </w:r>
      <w:r w:rsidR="001D2E42" w:rsidRPr="002F5C4C">
        <w:rPr>
          <w:rFonts w:ascii="Times New Roman" w:hAnsi="Times New Roman"/>
          <w:sz w:val="24"/>
          <w:szCs w:val="24"/>
          <w:lang w:val="ro-RO"/>
        </w:rPr>
        <w:t>mai eficace</w:t>
      </w:r>
      <w:r w:rsidR="00B54A67"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în toate domeniile, </w:t>
      </w:r>
      <w:r w:rsidR="001D2E42" w:rsidRPr="002F5C4C">
        <w:rPr>
          <w:rFonts w:ascii="Times New Roman" w:hAnsi="Times New Roman"/>
          <w:sz w:val="24"/>
          <w:szCs w:val="24"/>
          <w:lang w:val="ro-RO"/>
        </w:rPr>
        <w:t>având ca punct de plecare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 regândirea structurii p</w:t>
      </w:r>
      <w:r w:rsidR="00A800C5" w:rsidRPr="002F5C4C">
        <w:rPr>
          <w:rFonts w:ascii="Times New Roman" w:hAnsi="Times New Roman"/>
          <w:sz w:val="24"/>
          <w:szCs w:val="24"/>
          <w:lang w:val="ro-RO"/>
        </w:rPr>
        <w:t>iețelor şi gestionarea riscurilor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. Banca centrală </w:t>
      </w:r>
      <w:r w:rsidR="00675206" w:rsidRPr="002F5C4C">
        <w:rPr>
          <w:rFonts w:ascii="Times New Roman" w:hAnsi="Times New Roman"/>
          <w:sz w:val="24"/>
          <w:szCs w:val="24"/>
          <w:lang w:val="ro-RO"/>
        </w:rPr>
        <w:t>necesită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, într-o formă sau alta, prerogative sporite de reglementare și supraveghere, care </w:t>
      </w:r>
      <w:r w:rsidR="00675206" w:rsidRPr="002F5C4C">
        <w:rPr>
          <w:rFonts w:ascii="Times New Roman" w:hAnsi="Times New Roman"/>
          <w:sz w:val="24"/>
          <w:szCs w:val="24"/>
          <w:lang w:val="ro-RO"/>
        </w:rPr>
        <w:t xml:space="preserve">să </w:t>
      </w:r>
      <w:r w:rsidR="00B6064F" w:rsidRPr="002F5C4C">
        <w:rPr>
          <w:rFonts w:ascii="Times New Roman" w:hAnsi="Times New Roman"/>
          <w:sz w:val="24"/>
          <w:szCs w:val="24"/>
          <w:lang w:val="ro-RO"/>
        </w:rPr>
        <w:t>prindă în vizor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 xml:space="preserve"> atât prudențialitatea la nivel micro, cât și, mai </w:t>
      </w:r>
      <w:r w:rsidR="00B54A67" w:rsidRPr="002F5C4C">
        <w:rPr>
          <w:rFonts w:ascii="Times New Roman" w:hAnsi="Times New Roman"/>
          <w:sz w:val="24"/>
          <w:szCs w:val="24"/>
          <w:lang w:val="ro-RO"/>
        </w:rPr>
        <w:t>cu seamă</w:t>
      </w:r>
      <w:r w:rsidR="007B5172" w:rsidRPr="002F5C4C">
        <w:rPr>
          <w:rFonts w:ascii="Times New Roman" w:hAnsi="Times New Roman"/>
          <w:sz w:val="24"/>
          <w:szCs w:val="24"/>
          <w:lang w:val="ro-RO"/>
        </w:rPr>
        <w:t>, la nivel macro.</w:t>
      </w:r>
    </w:p>
    <w:p w:rsidR="00EB1AD9" w:rsidRPr="002F5C4C" w:rsidRDefault="007B5172" w:rsidP="00BB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ab/>
      </w:r>
    </w:p>
    <w:p w:rsidR="00C850B9" w:rsidRPr="002F5C4C" w:rsidRDefault="00C850B9" w:rsidP="00B04C27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F5C4C">
        <w:rPr>
          <w:rFonts w:ascii="Times New Roman" w:hAnsi="Times New Roman"/>
          <w:b/>
          <w:sz w:val="28"/>
          <w:szCs w:val="28"/>
        </w:rPr>
        <w:t>Surse bibliografice</w:t>
      </w:r>
    </w:p>
    <w:p w:rsidR="00C850B9" w:rsidRPr="002F5C4C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Borio, Claudio, Shin, I., (2007</w:t>
      </w:r>
      <w:r w:rsidR="000E4180">
        <w:rPr>
          <w:rFonts w:ascii="Times New Roman" w:hAnsi="Times New Roman"/>
          <w:i/>
          <w:sz w:val="24"/>
          <w:szCs w:val="24"/>
          <w:lang w:val="ro-RO"/>
        </w:rPr>
        <w:t xml:space="preserve">), </w:t>
      </w:r>
      <w:r w:rsidRPr="000E4180">
        <w:rPr>
          <w:rFonts w:ascii="Times New Roman" w:hAnsi="Times New Roman"/>
          <w:i/>
          <w:sz w:val="24"/>
          <w:szCs w:val="24"/>
          <w:lang w:val="ro-RO"/>
        </w:rPr>
        <w:t>What can (macro-) prudential policy do to suport monetary policy?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E4180">
        <w:rPr>
          <w:rFonts w:ascii="Times New Roman" w:hAnsi="Times New Roman"/>
          <w:sz w:val="24"/>
          <w:szCs w:val="24"/>
          <w:lang w:val="ro-RO"/>
        </w:rPr>
        <w:t>BIS Working Paper No. 242/2007</w:t>
      </w:r>
    </w:p>
    <w:p w:rsidR="00C850B9" w:rsidRPr="000E4180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Caruana, Jaime, (2010)</w:t>
      </w:r>
      <w:r w:rsidR="000E4180">
        <w:rPr>
          <w:rFonts w:ascii="Times New Roman" w:hAnsi="Times New Roman"/>
          <w:sz w:val="24"/>
          <w:szCs w:val="24"/>
          <w:lang w:val="ro-RO"/>
        </w:rPr>
        <w:t>,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4180">
        <w:rPr>
          <w:rFonts w:ascii="Times New Roman" w:hAnsi="Times New Roman"/>
          <w:i/>
          <w:sz w:val="24"/>
          <w:szCs w:val="24"/>
          <w:lang w:val="ro-RO"/>
        </w:rPr>
        <w:t>Basel III: Towards a safer financial system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E4180">
        <w:rPr>
          <w:rFonts w:ascii="Times New Roman" w:hAnsi="Times New Roman"/>
          <w:sz w:val="24"/>
          <w:szCs w:val="24"/>
          <w:lang w:val="ro-RO"/>
        </w:rPr>
        <w:t>Speech at the 3rd Santander International Banking Conference</w:t>
      </w:r>
      <w:r w:rsidR="00A96E0E">
        <w:rPr>
          <w:rFonts w:ascii="Times New Roman" w:hAnsi="Times New Roman"/>
          <w:sz w:val="24"/>
          <w:szCs w:val="24"/>
          <w:lang w:val="ro-RO"/>
        </w:rPr>
        <w:t>, Madrid</w:t>
      </w:r>
    </w:p>
    <w:p w:rsidR="00C850B9" w:rsidRPr="002F5C4C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Căpraru, Bogdan (2009), </w:t>
      </w:r>
      <w:r w:rsidRPr="000E4180">
        <w:rPr>
          <w:rFonts w:ascii="Times New Roman" w:hAnsi="Times New Roman"/>
          <w:i/>
          <w:sz w:val="24"/>
          <w:szCs w:val="24"/>
          <w:lang w:val="ro-RO"/>
        </w:rPr>
        <w:t>Banca centrală şi mediul economic</w:t>
      </w:r>
      <w:r w:rsidRPr="002F5C4C">
        <w:rPr>
          <w:rFonts w:ascii="Times New Roman" w:hAnsi="Times New Roman"/>
          <w:sz w:val="24"/>
          <w:szCs w:val="24"/>
          <w:lang w:val="ro-RO"/>
        </w:rPr>
        <w:t>, Editura Universi</w:t>
      </w:r>
      <w:r w:rsidR="000E4180">
        <w:rPr>
          <w:rFonts w:ascii="Times New Roman" w:hAnsi="Times New Roman"/>
          <w:sz w:val="24"/>
          <w:szCs w:val="24"/>
          <w:lang w:val="ro-RO"/>
        </w:rPr>
        <w:t>tăţii Alexandru Ioan Cuza, Iași</w:t>
      </w:r>
    </w:p>
    <w:p w:rsidR="00C850B9" w:rsidRPr="002F5C4C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Croitoru, Lucian (2012), </w:t>
      </w:r>
      <w:r w:rsidRPr="000E4180">
        <w:rPr>
          <w:rFonts w:ascii="Times New Roman" w:hAnsi="Times New Roman"/>
          <w:i/>
          <w:sz w:val="24"/>
          <w:szCs w:val="24"/>
          <w:lang w:val="ro-RO"/>
        </w:rPr>
        <w:t>Politica monetară: ipostaze neconvenționale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E4180">
        <w:rPr>
          <w:rFonts w:ascii="Times New Roman" w:hAnsi="Times New Roman"/>
          <w:sz w:val="24"/>
          <w:szCs w:val="24"/>
          <w:lang w:val="ro-RO"/>
        </w:rPr>
        <w:t>Editura Curtea Veche, București</w:t>
      </w:r>
    </w:p>
    <w:p w:rsidR="00C850B9" w:rsidRPr="002F5C4C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Isărescu, Mugur (2011</w:t>
      </w:r>
      <w:r w:rsidRPr="002F5C4C">
        <w:rPr>
          <w:rFonts w:ascii="Times New Roman" w:hAnsi="Times New Roman"/>
          <w:i/>
          <w:sz w:val="24"/>
          <w:szCs w:val="24"/>
          <w:lang w:val="ro-RO"/>
        </w:rPr>
        <w:t xml:space="preserve">), </w:t>
      </w:r>
      <w:r w:rsidRPr="000E4180">
        <w:rPr>
          <w:rFonts w:ascii="Times New Roman" w:hAnsi="Times New Roman"/>
          <w:i/>
          <w:sz w:val="24"/>
          <w:szCs w:val="24"/>
          <w:lang w:val="ro-RO"/>
        </w:rPr>
        <w:t>Macroprudențialitatea. Reglementarea crizelor financiare și politica monetară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E4180">
        <w:rPr>
          <w:rFonts w:ascii="Times New Roman" w:hAnsi="Times New Roman"/>
          <w:sz w:val="24"/>
          <w:szCs w:val="24"/>
          <w:lang w:val="ro-RO"/>
        </w:rPr>
        <w:t>Disertație susținută cu ocazia decernării titlului de Doctor Honorius Causa al Universității Româno-Americane</w:t>
      </w:r>
      <w:r w:rsidR="000E4180">
        <w:rPr>
          <w:rFonts w:ascii="Times New Roman" w:hAnsi="Times New Roman"/>
          <w:sz w:val="24"/>
          <w:szCs w:val="24"/>
          <w:lang w:val="ro-RO"/>
        </w:rPr>
        <w:t>, București, 30 iunie 2011</w:t>
      </w:r>
    </w:p>
    <w:p w:rsidR="00C850B9" w:rsidRPr="002F5C4C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Manolescu, G. (2009), </w:t>
      </w:r>
      <w:r w:rsidRPr="000E4180">
        <w:rPr>
          <w:rFonts w:ascii="Times New Roman" w:hAnsi="Times New Roman"/>
          <w:i/>
          <w:sz w:val="24"/>
          <w:szCs w:val="24"/>
          <w:lang w:val="ro-RO"/>
        </w:rPr>
        <w:t>Politica monetară în perspectiva globalizării</w:t>
      </w:r>
      <w:r w:rsidRPr="002F5C4C">
        <w:rPr>
          <w:rFonts w:ascii="Times New Roman" w:hAnsi="Times New Roman"/>
          <w:sz w:val="24"/>
          <w:szCs w:val="24"/>
          <w:lang w:val="ro-RO"/>
        </w:rPr>
        <w:t>,</w:t>
      </w:r>
      <w:r w:rsidR="000E4180">
        <w:rPr>
          <w:rFonts w:ascii="Times New Roman" w:hAnsi="Times New Roman"/>
          <w:sz w:val="24"/>
          <w:szCs w:val="24"/>
          <w:lang w:val="ro-RO"/>
        </w:rPr>
        <w:t xml:space="preserve"> Editura Univesitară, București</w:t>
      </w:r>
    </w:p>
    <w:p w:rsidR="00C850B9" w:rsidRPr="002F5C4C" w:rsidRDefault="000E4180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 Pop, Napoleon (2011), </w:t>
      </w:r>
      <w:r w:rsidR="00C850B9" w:rsidRPr="000E4180">
        <w:rPr>
          <w:rFonts w:ascii="Times New Roman" w:hAnsi="Times New Roman"/>
          <w:i/>
          <w:sz w:val="24"/>
          <w:szCs w:val="24"/>
          <w:lang w:val="ro-RO"/>
        </w:rPr>
        <w:t>Decizia de politică monetară – între fascinația teoriei și inefabilul intuiției</w:t>
      </w:r>
      <w:r>
        <w:rPr>
          <w:rFonts w:ascii="Times New Roman" w:hAnsi="Times New Roman"/>
          <w:sz w:val="24"/>
          <w:szCs w:val="24"/>
          <w:lang w:val="ro-RO"/>
        </w:rPr>
        <w:t>, Editura Expert, București</w:t>
      </w:r>
    </w:p>
    <w:p w:rsidR="00C850B9" w:rsidRPr="002F5C4C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Spulbăr, C., Nițoi, M.</w:t>
      </w:r>
      <w:r w:rsidR="000E4180">
        <w:rPr>
          <w:rFonts w:ascii="Times New Roman" w:hAnsi="Times New Roman"/>
          <w:sz w:val="24"/>
          <w:szCs w:val="24"/>
          <w:lang w:val="ro-RO"/>
        </w:rPr>
        <w:t>,</w:t>
      </w:r>
      <w:r w:rsidRPr="002F5C4C">
        <w:rPr>
          <w:rFonts w:ascii="Times New Roman" w:hAnsi="Times New Roman"/>
          <w:sz w:val="24"/>
          <w:szCs w:val="24"/>
          <w:lang w:val="ro-RO"/>
        </w:rPr>
        <w:t xml:space="preserve"> (2012), </w:t>
      </w:r>
      <w:r w:rsidRPr="000E4180">
        <w:rPr>
          <w:rFonts w:ascii="Times New Roman" w:hAnsi="Times New Roman"/>
          <w:i/>
          <w:sz w:val="24"/>
          <w:szCs w:val="24"/>
          <w:lang w:val="ro-RO"/>
        </w:rPr>
        <w:t>Sisteme bancare comparate</w:t>
      </w:r>
      <w:r w:rsidR="000E4180">
        <w:rPr>
          <w:rFonts w:ascii="Times New Roman" w:hAnsi="Times New Roman"/>
          <w:sz w:val="24"/>
          <w:szCs w:val="24"/>
          <w:lang w:val="ro-RO"/>
        </w:rPr>
        <w:t>, Editura Sitech, Craiova</w:t>
      </w:r>
    </w:p>
    <w:p w:rsidR="00C850B9" w:rsidRPr="002F5C4C" w:rsidRDefault="00C850B9" w:rsidP="000E4180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 xml:space="preserve">Banca Națională a României </w:t>
      </w:r>
      <w:hyperlink r:id="rId11" w:history="1">
        <w:r w:rsidR="00F43A16" w:rsidRPr="00D25104">
          <w:rPr>
            <w:rStyle w:val="Hyperlink"/>
            <w:rFonts w:ascii="Times New Roman" w:hAnsi="Times New Roman"/>
            <w:sz w:val="24"/>
            <w:szCs w:val="24"/>
            <w:lang w:val="ro-RO"/>
          </w:rPr>
          <w:t>http://www.bnr.ro/Home.aspx</w:t>
        </w:r>
      </w:hyperlink>
      <w:r w:rsidR="00F43A16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9" w:name="_GoBack"/>
      <w:bookmarkEnd w:id="9"/>
      <w:r w:rsidR="000E4180">
        <w:rPr>
          <w:rFonts w:ascii="Times New Roman" w:hAnsi="Times New Roman"/>
          <w:sz w:val="24"/>
          <w:szCs w:val="24"/>
          <w:lang w:val="ro-RO"/>
        </w:rPr>
        <w:t>(accesat la 26.03.2016)</w:t>
      </w:r>
    </w:p>
    <w:p w:rsidR="00C850B9" w:rsidRPr="002F5C4C" w:rsidRDefault="00C850B9" w:rsidP="00B21F70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***Raport anual 2014</w:t>
      </w:r>
    </w:p>
    <w:p w:rsidR="00C850B9" w:rsidRPr="002F5C4C" w:rsidRDefault="00C850B9" w:rsidP="00B21F70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2F5C4C">
        <w:rPr>
          <w:rFonts w:ascii="Times New Roman" w:hAnsi="Times New Roman"/>
          <w:sz w:val="24"/>
          <w:szCs w:val="24"/>
          <w:lang w:val="ro-RO"/>
        </w:rPr>
        <w:t>***Raport asupra stabilității financiare 2015</w:t>
      </w:r>
    </w:p>
    <w:p w:rsidR="00C850B9" w:rsidRPr="002F5C4C" w:rsidRDefault="00C850B9" w:rsidP="00B21F7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F5C4C">
        <w:rPr>
          <w:rFonts w:ascii="Times New Roman" w:hAnsi="Times New Roman"/>
          <w:sz w:val="24"/>
          <w:szCs w:val="24"/>
        </w:rPr>
        <w:t>***Raport asupra inflației februarie 2016</w:t>
      </w:r>
    </w:p>
    <w:p w:rsidR="00C850B9" w:rsidRDefault="00C850B9" w:rsidP="00BB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D09" w:rsidRPr="004A5D27" w:rsidRDefault="00EB1AD9" w:rsidP="00BB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ab/>
      </w:r>
    </w:p>
    <w:p w:rsidR="00517262" w:rsidRPr="004A5D27" w:rsidRDefault="00517262" w:rsidP="00BB1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A2F4F" w:rsidRPr="00DC3E49" w:rsidRDefault="00CA2F4F" w:rsidP="00BB163A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A2F4F" w:rsidRPr="009C3FED" w:rsidRDefault="00CA2F4F" w:rsidP="00BB163A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A2F4F" w:rsidRPr="00423D63" w:rsidRDefault="00CA2F4F" w:rsidP="00BB163A">
      <w:pPr>
        <w:pStyle w:val="Heading1"/>
        <w:spacing w:before="0" w:beforeAutospacing="0" w:after="0" w:afterAutospacing="0"/>
        <w:jc w:val="both"/>
      </w:pPr>
    </w:p>
    <w:sectPr w:rsidR="00CA2F4F" w:rsidRPr="00423D63" w:rsidSect="00B43513">
      <w:footerReference w:type="default" r:id="rId12"/>
      <w:pgSz w:w="11907" w:h="16840" w:code="9"/>
      <w:pgMar w:top="1134" w:right="1134" w:bottom="1134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48" w:rsidRDefault="00674048" w:rsidP="003A6438">
      <w:pPr>
        <w:spacing w:after="0" w:line="240" w:lineRule="auto"/>
      </w:pPr>
      <w:r>
        <w:separator/>
      </w:r>
    </w:p>
  </w:endnote>
  <w:endnote w:type="continuationSeparator" w:id="0">
    <w:p w:rsidR="00674048" w:rsidRDefault="00674048" w:rsidP="003A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36" w:rsidRPr="00814881" w:rsidRDefault="00D70736" w:rsidP="00C443F7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48" w:rsidRDefault="00674048" w:rsidP="003A6438">
      <w:pPr>
        <w:spacing w:after="0" w:line="240" w:lineRule="auto"/>
      </w:pPr>
      <w:r>
        <w:separator/>
      </w:r>
    </w:p>
  </w:footnote>
  <w:footnote w:type="continuationSeparator" w:id="0">
    <w:p w:rsidR="00674048" w:rsidRDefault="00674048" w:rsidP="003A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7084"/>
    <w:multiLevelType w:val="hybridMultilevel"/>
    <w:tmpl w:val="51102EFA"/>
    <w:lvl w:ilvl="0" w:tplc="CE6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B6A22"/>
    <w:multiLevelType w:val="hybridMultilevel"/>
    <w:tmpl w:val="EF7C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F10DB"/>
    <w:multiLevelType w:val="hybridMultilevel"/>
    <w:tmpl w:val="B5B6BDB8"/>
    <w:lvl w:ilvl="0" w:tplc="04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14995722"/>
    <w:multiLevelType w:val="hybridMultilevel"/>
    <w:tmpl w:val="EE444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F92"/>
    <w:multiLevelType w:val="hybridMultilevel"/>
    <w:tmpl w:val="012AE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67B29"/>
    <w:multiLevelType w:val="hybridMultilevel"/>
    <w:tmpl w:val="C27474CE"/>
    <w:lvl w:ilvl="0" w:tplc="6A384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B3C7B"/>
    <w:multiLevelType w:val="hybridMultilevel"/>
    <w:tmpl w:val="948A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60EB3"/>
    <w:multiLevelType w:val="hybridMultilevel"/>
    <w:tmpl w:val="C5ACD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25ED5"/>
    <w:multiLevelType w:val="hybridMultilevel"/>
    <w:tmpl w:val="393C43C2"/>
    <w:lvl w:ilvl="0" w:tplc="DE446E34">
      <w:start w:val="3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D7C8E"/>
    <w:multiLevelType w:val="multilevel"/>
    <w:tmpl w:val="4ED4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B5C46"/>
    <w:multiLevelType w:val="hybridMultilevel"/>
    <w:tmpl w:val="B41878A4"/>
    <w:lvl w:ilvl="0" w:tplc="1B026C0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C46C9"/>
    <w:multiLevelType w:val="hybridMultilevel"/>
    <w:tmpl w:val="FEC0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16B16"/>
    <w:multiLevelType w:val="hybridMultilevel"/>
    <w:tmpl w:val="D85AA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C145C"/>
    <w:multiLevelType w:val="hybridMultilevel"/>
    <w:tmpl w:val="5478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82EEE"/>
    <w:multiLevelType w:val="hybridMultilevel"/>
    <w:tmpl w:val="0B844684"/>
    <w:lvl w:ilvl="0" w:tplc="2CD8D3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25249"/>
    <w:multiLevelType w:val="multilevel"/>
    <w:tmpl w:val="F37C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A777E7"/>
    <w:multiLevelType w:val="multilevel"/>
    <w:tmpl w:val="61F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AC571E"/>
    <w:multiLevelType w:val="hybridMultilevel"/>
    <w:tmpl w:val="5204D370"/>
    <w:lvl w:ilvl="0" w:tplc="2CD8D3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52FE0"/>
    <w:multiLevelType w:val="hybridMultilevel"/>
    <w:tmpl w:val="96805060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75B32DB2"/>
    <w:multiLevelType w:val="hybridMultilevel"/>
    <w:tmpl w:val="481E26FC"/>
    <w:lvl w:ilvl="0" w:tplc="04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>
    <w:nsid w:val="76F5702D"/>
    <w:multiLevelType w:val="hybridMultilevel"/>
    <w:tmpl w:val="1474FFBE"/>
    <w:lvl w:ilvl="0" w:tplc="5B3EE47C">
      <w:start w:val="3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0"/>
  </w:num>
  <w:num w:numId="5">
    <w:abstractNumId w:val="19"/>
  </w:num>
  <w:num w:numId="6">
    <w:abstractNumId w:val="18"/>
  </w:num>
  <w:num w:numId="7">
    <w:abstractNumId w:val="17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"/>
  </w:num>
  <w:num w:numId="18">
    <w:abstractNumId w:val="10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3D5"/>
    <w:rsid w:val="00005CF1"/>
    <w:rsid w:val="00030646"/>
    <w:rsid w:val="000450CD"/>
    <w:rsid w:val="00064A9E"/>
    <w:rsid w:val="000704EF"/>
    <w:rsid w:val="00073DD6"/>
    <w:rsid w:val="000818EA"/>
    <w:rsid w:val="00082902"/>
    <w:rsid w:val="00087E1B"/>
    <w:rsid w:val="00091889"/>
    <w:rsid w:val="000A0ABA"/>
    <w:rsid w:val="000A13A4"/>
    <w:rsid w:val="000B4B94"/>
    <w:rsid w:val="000C10FC"/>
    <w:rsid w:val="000C11CB"/>
    <w:rsid w:val="000D676F"/>
    <w:rsid w:val="000E04AA"/>
    <w:rsid w:val="000E4180"/>
    <w:rsid w:val="000E44BA"/>
    <w:rsid w:val="000F249D"/>
    <w:rsid w:val="000F4EE5"/>
    <w:rsid w:val="000F5F92"/>
    <w:rsid w:val="00102382"/>
    <w:rsid w:val="001124C6"/>
    <w:rsid w:val="0011525C"/>
    <w:rsid w:val="00116410"/>
    <w:rsid w:val="00121AFF"/>
    <w:rsid w:val="00134366"/>
    <w:rsid w:val="001420E3"/>
    <w:rsid w:val="00152439"/>
    <w:rsid w:val="00157F29"/>
    <w:rsid w:val="00161E73"/>
    <w:rsid w:val="00164D9B"/>
    <w:rsid w:val="00165C2F"/>
    <w:rsid w:val="00170C5D"/>
    <w:rsid w:val="001941A8"/>
    <w:rsid w:val="001A04EC"/>
    <w:rsid w:val="001A4046"/>
    <w:rsid w:val="001A6027"/>
    <w:rsid w:val="001A6A10"/>
    <w:rsid w:val="001B44F7"/>
    <w:rsid w:val="001B55A2"/>
    <w:rsid w:val="001C28FD"/>
    <w:rsid w:val="001C5A10"/>
    <w:rsid w:val="001C6690"/>
    <w:rsid w:val="001C7AB3"/>
    <w:rsid w:val="001D2E42"/>
    <w:rsid w:val="001D6742"/>
    <w:rsid w:val="001E077E"/>
    <w:rsid w:val="001F484D"/>
    <w:rsid w:val="001F6D56"/>
    <w:rsid w:val="002145E2"/>
    <w:rsid w:val="00216F1E"/>
    <w:rsid w:val="002215FC"/>
    <w:rsid w:val="00224C01"/>
    <w:rsid w:val="00226F22"/>
    <w:rsid w:val="00250C58"/>
    <w:rsid w:val="00261ED6"/>
    <w:rsid w:val="002632C4"/>
    <w:rsid w:val="00264FB6"/>
    <w:rsid w:val="0027250C"/>
    <w:rsid w:val="002869A8"/>
    <w:rsid w:val="00286A14"/>
    <w:rsid w:val="0029662F"/>
    <w:rsid w:val="002A0A77"/>
    <w:rsid w:val="002A6769"/>
    <w:rsid w:val="002A7908"/>
    <w:rsid w:val="002B2E65"/>
    <w:rsid w:val="002C1E30"/>
    <w:rsid w:val="002D04F1"/>
    <w:rsid w:val="002D164B"/>
    <w:rsid w:val="002E76E3"/>
    <w:rsid w:val="002F5C4C"/>
    <w:rsid w:val="00301065"/>
    <w:rsid w:val="00303D40"/>
    <w:rsid w:val="00305AD3"/>
    <w:rsid w:val="003303EC"/>
    <w:rsid w:val="00331A9B"/>
    <w:rsid w:val="00335023"/>
    <w:rsid w:val="003428B5"/>
    <w:rsid w:val="0035066F"/>
    <w:rsid w:val="003558F4"/>
    <w:rsid w:val="00360B4E"/>
    <w:rsid w:val="00363BBB"/>
    <w:rsid w:val="003642A3"/>
    <w:rsid w:val="0036478A"/>
    <w:rsid w:val="003648A1"/>
    <w:rsid w:val="003656A8"/>
    <w:rsid w:val="00387F50"/>
    <w:rsid w:val="003903E9"/>
    <w:rsid w:val="00392437"/>
    <w:rsid w:val="00393873"/>
    <w:rsid w:val="003965EB"/>
    <w:rsid w:val="003A27C0"/>
    <w:rsid w:val="003A6438"/>
    <w:rsid w:val="003B4562"/>
    <w:rsid w:val="003C2ADC"/>
    <w:rsid w:val="003C5114"/>
    <w:rsid w:val="003F1844"/>
    <w:rsid w:val="003F60CC"/>
    <w:rsid w:val="003F6445"/>
    <w:rsid w:val="00401371"/>
    <w:rsid w:val="00407CDF"/>
    <w:rsid w:val="00412FB3"/>
    <w:rsid w:val="00416606"/>
    <w:rsid w:val="00423D63"/>
    <w:rsid w:val="004247F8"/>
    <w:rsid w:val="004258F3"/>
    <w:rsid w:val="00432E66"/>
    <w:rsid w:val="004370AF"/>
    <w:rsid w:val="00437DC8"/>
    <w:rsid w:val="00443432"/>
    <w:rsid w:val="00460887"/>
    <w:rsid w:val="00474689"/>
    <w:rsid w:val="0047493A"/>
    <w:rsid w:val="00480AAD"/>
    <w:rsid w:val="00485F03"/>
    <w:rsid w:val="00492DF0"/>
    <w:rsid w:val="004944E1"/>
    <w:rsid w:val="004A0AA6"/>
    <w:rsid w:val="004A2219"/>
    <w:rsid w:val="004A5D27"/>
    <w:rsid w:val="004A608C"/>
    <w:rsid w:val="004C7A33"/>
    <w:rsid w:val="004E43BA"/>
    <w:rsid w:val="004F0192"/>
    <w:rsid w:val="004F052F"/>
    <w:rsid w:val="004F710E"/>
    <w:rsid w:val="005105A1"/>
    <w:rsid w:val="005127E6"/>
    <w:rsid w:val="00515120"/>
    <w:rsid w:val="00517262"/>
    <w:rsid w:val="005218FA"/>
    <w:rsid w:val="00526E28"/>
    <w:rsid w:val="00527587"/>
    <w:rsid w:val="00532561"/>
    <w:rsid w:val="00550B24"/>
    <w:rsid w:val="005568D6"/>
    <w:rsid w:val="00556D54"/>
    <w:rsid w:val="00560345"/>
    <w:rsid w:val="00562B96"/>
    <w:rsid w:val="005662BF"/>
    <w:rsid w:val="005703E3"/>
    <w:rsid w:val="0057318E"/>
    <w:rsid w:val="00586ECF"/>
    <w:rsid w:val="00591E9D"/>
    <w:rsid w:val="00595209"/>
    <w:rsid w:val="005A37E2"/>
    <w:rsid w:val="005A7969"/>
    <w:rsid w:val="005C5A67"/>
    <w:rsid w:val="005C7ADD"/>
    <w:rsid w:val="005D3EF4"/>
    <w:rsid w:val="005D50F5"/>
    <w:rsid w:val="005E4398"/>
    <w:rsid w:val="005E4BB7"/>
    <w:rsid w:val="0060647E"/>
    <w:rsid w:val="0060677D"/>
    <w:rsid w:val="00606B27"/>
    <w:rsid w:val="00610456"/>
    <w:rsid w:val="00624743"/>
    <w:rsid w:val="00625164"/>
    <w:rsid w:val="00625A4A"/>
    <w:rsid w:val="00626A73"/>
    <w:rsid w:val="006339C4"/>
    <w:rsid w:val="006348F3"/>
    <w:rsid w:val="00643659"/>
    <w:rsid w:val="0064614D"/>
    <w:rsid w:val="0064637E"/>
    <w:rsid w:val="00653C96"/>
    <w:rsid w:val="0066395E"/>
    <w:rsid w:val="00674048"/>
    <w:rsid w:val="00675206"/>
    <w:rsid w:val="00686740"/>
    <w:rsid w:val="00693B95"/>
    <w:rsid w:val="00695636"/>
    <w:rsid w:val="006A0CCC"/>
    <w:rsid w:val="006A29D1"/>
    <w:rsid w:val="006C0729"/>
    <w:rsid w:val="006C3B24"/>
    <w:rsid w:val="006C55C1"/>
    <w:rsid w:val="006E0514"/>
    <w:rsid w:val="006E5E34"/>
    <w:rsid w:val="006F249B"/>
    <w:rsid w:val="006F3353"/>
    <w:rsid w:val="006F4A5A"/>
    <w:rsid w:val="00707ACE"/>
    <w:rsid w:val="00725F4E"/>
    <w:rsid w:val="00726FA0"/>
    <w:rsid w:val="00747C2A"/>
    <w:rsid w:val="007528FC"/>
    <w:rsid w:val="00755D09"/>
    <w:rsid w:val="00760AE3"/>
    <w:rsid w:val="00766152"/>
    <w:rsid w:val="00766A53"/>
    <w:rsid w:val="00771C6F"/>
    <w:rsid w:val="0077774A"/>
    <w:rsid w:val="0078107A"/>
    <w:rsid w:val="00782AD0"/>
    <w:rsid w:val="00783227"/>
    <w:rsid w:val="00787220"/>
    <w:rsid w:val="00793033"/>
    <w:rsid w:val="00797819"/>
    <w:rsid w:val="007A2034"/>
    <w:rsid w:val="007A21B4"/>
    <w:rsid w:val="007A785E"/>
    <w:rsid w:val="007B166C"/>
    <w:rsid w:val="007B4C12"/>
    <w:rsid w:val="007B5172"/>
    <w:rsid w:val="007C7FD1"/>
    <w:rsid w:val="007D0645"/>
    <w:rsid w:val="007D0B34"/>
    <w:rsid w:val="007E0F7E"/>
    <w:rsid w:val="007F24FE"/>
    <w:rsid w:val="00803DC5"/>
    <w:rsid w:val="00805279"/>
    <w:rsid w:val="0081241F"/>
    <w:rsid w:val="00814881"/>
    <w:rsid w:val="008312F6"/>
    <w:rsid w:val="008329D1"/>
    <w:rsid w:val="00842206"/>
    <w:rsid w:val="008452D7"/>
    <w:rsid w:val="008743ED"/>
    <w:rsid w:val="0088350A"/>
    <w:rsid w:val="008948C9"/>
    <w:rsid w:val="008A74E5"/>
    <w:rsid w:val="008C04A7"/>
    <w:rsid w:val="008C0C03"/>
    <w:rsid w:val="008C1A2B"/>
    <w:rsid w:val="008D2C50"/>
    <w:rsid w:val="008D5535"/>
    <w:rsid w:val="008E00B8"/>
    <w:rsid w:val="008F26F5"/>
    <w:rsid w:val="008F7992"/>
    <w:rsid w:val="008F7FD6"/>
    <w:rsid w:val="00906A00"/>
    <w:rsid w:val="0091577D"/>
    <w:rsid w:val="00916CF3"/>
    <w:rsid w:val="0093031D"/>
    <w:rsid w:val="009361FA"/>
    <w:rsid w:val="00936E04"/>
    <w:rsid w:val="00952596"/>
    <w:rsid w:val="009554BA"/>
    <w:rsid w:val="0095576E"/>
    <w:rsid w:val="00971AFE"/>
    <w:rsid w:val="00972BE4"/>
    <w:rsid w:val="009852B4"/>
    <w:rsid w:val="00993057"/>
    <w:rsid w:val="00996A72"/>
    <w:rsid w:val="009A24AA"/>
    <w:rsid w:val="009A5A21"/>
    <w:rsid w:val="009A6935"/>
    <w:rsid w:val="009C2425"/>
    <w:rsid w:val="009C3FED"/>
    <w:rsid w:val="009C4AF2"/>
    <w:rsid w:val="009C70EA"/>
    <w:rsid w:val="009D05B5"/>
    <w:rsid w:val="009D5445"/>
    <w:rsid w:val="009D562A"/>
    <w:rsid w:val="009D6BAE"/>
    <w:rsid w:val="009D6BC3"/>
    <w:rsid w:val="009E4C6B"/>
    <w:rsid w:val="009E67C2"/>
    <w:rsid w:val="009F2E68"/>
    <w:rsid w:val="00A1505B"/>
    <w:rsid w:val="00A307D4"/>
    <w:rsid w:val="00A3147B"/>
    <w:rsid w:val="00A32323"/>
    <w:rsid w:val="00A32A75"/>
    <w:rsid w:val="00A40A85"/>
    <w:rsid w:val="00A561DA"/>
    <w:rsid w:val="00A61C9B"/>
    <w:rsid w:val="00A65B39"/>
    <w:rsid w:val="00A66CD3"/>
    <w:rsid w:val="00A677C7"/>
    <w:rsid w:val="00A71B2D"/>
    <w:rsid w:val="00A74A4E"/>
    <w:rsid w:val="00A800C5"/>
    <w:rsid w:val="00A8775F"/>
    <w:rsid w:val="00A96E0E"/>
    <w:rsid w:val="00AA3CCC"/>
    <w:rsid w:val="00AA6ED9"/>
    <w:rsid w:val="00AA7C45"/>
    <w:rsid w:val="00AB31B1"/>
    <w:rsid w:val="00AB562C"/>
    <w:rsid w:val="00AC4ADC"/>
    <w:rsid w:val="00AD5B20"/>
    <w:rsid w:val="00AE08E7"/>
    <w:rsid w:val="00AF32F6"/>
    <w:rsid w:val="00AF57D6"/>
    <w:rsid w:val="00B01DFC"/>
    <w:rsid w:val="00B04C27"/>
    <w:rsid w:val="00B0678F"/>
    <w:rsid w:val="00B21F70"/>
    <w:rsid w:val="00B23F20"/>
    <w:rsid w:val="00B24036"/>
    <w:rsid w:val="00B24682"/>
    <w:rsid w:val="00B400D7"/>
    <w:rsid w:val="00B43513"/>
    <w:rsid w:val="00B54A67"/>
    <w:rsid w:val="00B6064F"/>
    <w:rsid w:val="00B6321A"/>
    <w:rsid w:val="00B72A0E"/>
    <w:rsid w:val="00B74C8D"/>
    <w:rsid w:val="00B75672"/>
    <w:rsid w:val="00B910DC"/>
    <w:rsid w:val="00B9318D"/>
    <w:rsid w:val="00B95E96"/>
    <w:rsid w:val="00BB163A"/>
    <w:rsid w:val="00BC1791"/>
    <w:rsid w:val="00BC4254"/>
    <w:rsid w:val="00BD2049"/>
    <w:rsid w:val="00BD41A9"/>
    <w:rsid w:val="00BF0BA5"/>
    <w:rsid w:val="00C00778"/>
    <w:rsid w:val="00C1474C"/>
    <w:rsid w:val="00C23A14"/>
    <w:rsid w:val="00C33635"/>
    <w:rsid w:val="00C35ADD"/>
    <w:rsid w:val="00C443F7"/>
    <w:rsid w:val="00C5217E"/>
    <w:rsid w:val="00C77330"/>
    <w:rsid w:val="00C81802"/>
    <w:rsid w:val="00C850B9"/>
    <w:rsid w:val="00C8533E"/>
    <w:rsid w:val="00C85578"/>
    <w:rsid w:val="00C9292E"/>
    <w:rsid w:val="00C973EA"/>
    <w:rsid w:val="00CA2F4F"/>
    <w:rsid w:val="00CB701A"/>
    <w:rsid w:val="00CB715A"/>
    <w:rsid w:val="00CB7FF5"/>
    <w:rsid w:val="00CC3DFE"/>
    <w:rsid w:val="00CE6FB2"/>
    <w:rsid w:val="00D10461"/>
    <w:rsid w:val="00D10F6B"/>
    <w:rsid w:val="00D11D97"/>
    <w:rsid w:val="00D24970"/>
    <w:rsid w:val="00D27739"/>
    <w:rsid w:val="00D32C86"/>
    <w:rsid w:val="00D468B6"/>
    <w:rsid w:val="00D51238"/>
    <w:rsid w:val="00D550DE"/>
    <w:rsid w:val="00D55276"/>
    <w:rsid w:val="00D55A47"/>
    <w:rsid w:val="00D612F2"/>
    <w:rsid w:val="00D64238"/>
    <w:rsid w:val="00D70736"/>
    <w:rsid w:val="00D70A3E"/>
    <w:rsid w:val="00D7493F"/>
    <w:rsid w:val="00D75639"/>
    <w:rsid w:val="00D823BF"/>
    <w:rsid w:val="00D82BD8"/>
    <w:rsid w:val="00D8383A"/>
    <w:rsid w:val="00D85288"/>
    <w:rsid w:val="00D8628A"/>
    <w:rsid w:val="00D915D5"/>
    <w:rsid w:val="00D92B97"/>
    <w:rsid w:val="00D95A71"/>
    <w:rsid w:val="00D96DF9"/>
    <w:rsid w:val="00DA05A0"/>
    <w:rsid w:val="00DA6DD4"/>
    <w:rsid w:val="00DB3926"/>
    <w:rsid w:val="00DB5F76"/>
    <w:rsid w:val="00DC1B3F"/>
    <w:rsid w:val="00DC3E49"/>
    <w:rsid w:val="00DC52BA"/>
    <w:rsid w:val="00DC555A"/>
    <w:rsid w:val="00DF2E18"/>
    <w:rsid w:val="00DF31B5"/>
    <w:rsid w:val="00DF3470"/>
    <w:rsid w:val="00DF492D"/>
    <w:rsid w:val="00E018A3"/>
    <w:rsid w:val="00E06766"/>
    <w:rsid w:val="00E20592"/>
    <w:rsid w:val="00E21AAD"/>
    <w:rsid w:val="00E31A24"/>
    <w:rsid w:val="00E34A14"/>
    <w:rsid w:val="00E47DAF"/>
    <w:rsid w:val="00E56676"/>
    <w:rsid w:val="00E63025"/>
    <w:rsid w:val="00E7118F"/>
    <w:rsid w:val="00E7158B"/>
    <w:rsid w:val="00E72FDA"/>
    <w:rsid w:val="00E806C9"/>
    <w:rsid w:val="00E86A4F"/>
    <w:rsid w:val="00E905FA"/>
    <w:rsid w:val="00E93E70"/>
    <w:rsid w:val="00E96EFC"/>
    <w:rsid w:val="00E97014"/>
    <w:rsid w:val="00EA53E4"/>
    <w:rsid w:val="00EB1AD9"/>
    <w:rsid w:val="00EB7507"/>
    <w:rsid w:val="00EC6E58"/>
    <w:rsid w:val="00ED49BE"/>
    <w:rsid w:val="00ED4E00"/>
    <w:rsid w:val="00ED659A"/>
    <w:rsid w:val="00EF4150"/>
    <w:rsid w:val="00F01BEB"/>
    <w:rsid w:val="00F02EDC"/>
    <w:rsid w:val="00F07985"/>
    <w:rsid w:val="00F1076C"/>
    <w:rsid w:val="00F123D5"/>
    <w:rsid w:val="00F218A5"/>
    <w:rsid w:val="00F2236A"/>
    <w:rsid w:val="00F23D8A"/>
    <w:rsid w:val="00F27756"/>
    <w:rsid w:val="00F378FF"/>
    <w:rsid w:val="00F43A16"/>
    <w:rsid w:val="00F52A07"/>
    <w:rsid w:val="00F531B7"/>
    <w:rsid w:val="00F636B2"/>
    <w:rsid w:val="00F674F7"/>
    <w:rsid w:val="00F712D6"/>
    <w:rsid w:val="00F726CC"/>
    <w:rsid w:val="00F9040A"/>
    <w:rsid w:val="00FA0710"/>
    <w:rsid w:val="00FC7F54"/>
    <w:rsid w:val="00FD149E"/>
    <w:rsid w:val="00FE244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2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01B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</w:rPr>
  </w:style>
  <w:style w:type="paragraph" w:styleId="Heading2">
    <w:name w:val="heading 2"/>
    <w:basedOn w:val="Normal"/>
    <w:link w:val="Heading2Char"/>
    <w:uiPriority w:val="9"/>
    <w:qFormat/>
    <w:rsid w:val="00F01BEB"/>
    <w:pPr>
      <w:spacing w:after="0" w:line="360" w:lineRule="auto"/>
      <w:jc w:val="both"/>
      <w:outlineLvl w:val="1"/>
    </w:pPr>
    <w:rPr>
      <w:rFonts w:ascii="Times New Roman" w:hAnsi="Times New Roman"/>
      <w:bCs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BEB"/>
    <w:pPr>
      <w:keepNext/>
      <w:spacing w:after="0" w:line="360" w:lineRule="auto"/>
      <w:outlineLvl w:val="2"/>
    </w:pPr>
    <w:rPr>
      <w:rFonts w:ascii="Times New Roman" w:hAnsi="Times New Roman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438"/>
  </w:style>
  <w:style w:type="paragraph" w:styleId="Footer">
    <w:name w:val="footer"/>
    <w:basedOn w:val="Normal"/>
    <w:link w:val="FooterChar"/>
    <w:uiPriority w:val="99"/>
    <w:unhideWhenUsed/>
    <w:rsid w:val="003A6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438"/>
  </w:style>
  <w:style w:type="paragraph" w:styleId="BalloonText">
    <w:name w:val="Balloon Text"/>
    <w:basedOn w:val="Normal"/>
    <w:link w:val="BalloonTextChar"/>
    <w:uiPriority w:val="99"/>
    <w:semiHidden/>
    <w:unhideWhenUsed/>
    <w:rsid w:val="003A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FE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1BEB"/>
    <w:rPr>
      <w:rFonts w:ascii="Times New Roman" w:hAnsi="Times New Roman"/>
      <w:b/>
      <w:bCs/>
      <w:kern w:val="36"/>
      <w:sz w:val="2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01BEB"/>
    <w:rPr>
      <w:rFonts w:ascii="Times New Roman" w:hAnsi="Times New Roman"/>
      <w:bCs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01BEB"/>
    <w:rPr>
      <w:rFonts w:ascii="Times New Roman" w:eastAsia="Times New Roman" w:hAnsi="Times New Roman" w:cs="Times New Roman"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4F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076C"/>
    <w:pPr>
      <w:tabs>
        <w:tab w:val="right" w:leader="dot" w:pos="9350"/>
      </w:tabs>
      <w:spacing w:line="240" w:lineRule="auto"/>
      <w:ind w:right="332"/>
      <w:jc w:val="both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1076C"/>
    <w:pPr>
      <w:tabs>
        <w:tab w:val="right" w:leader="dot" w:pos="9350"/>
      </w:tabs>
      <w:spacing w:line="240" w:lineRule="auto"/>
      <w:ind w:left="220" w:right="332"/>
    </w:pPr>
  </w:style>
  <w:style w:type="paragraph" w:styleId="TOC3">
    <w:name w:val="toc 3"/>
    <w:basedOn w:val="Normal"/>
    <w:next w:val="Normal"/>
    <w:autoRedefine/>
    <w:uiPriority w:val="39"/>
    <w:unhideWhenUsed/>
    <w:rsid w:val="002D04F1"/>
    <w:pPr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1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5D5"/>
  </w:style>
  <w:style w:type="character" w:styleId="FootnoteReference">
    <w:name w:val="footnote reference"/>
    <w:basedOn w:val="DefaultParagraphFont"/>
    <w:uiPriority w:val="99"/>
    <w:semiHidden/>
    <w:unhideWhenUsed/>
    <w:rsid w:val="00D915D5"/>
    <w:rPr>
      <w:vertAlign w:val="superscript"/>
    </w:rPr>
  </w:style>
  <w:style w:type="character" w:customStyle="1" w:styleId="t61">
    <w:name w:val="t61"/>
    <w:basedOn w:val="DefaultParagraphFont"/>
    <w:rsid w:val="002C1E30"/>
    <w:rPr>
      <w:b/>
      <w:bCs/>
      <w:color w:val="888769"/>
      <w:sz w:val="22"/>
      <w:szCs w:val="22"/>
    </w:rPr>
  </w:style>
  <w:style w:type="table" w:styleId="TableGrid">
    <w:name w:val="Table Grid"/>
    <w:basedOn w:val="TableNormal"/>
    <w:uiPriority w:val="59"/>
    <w:rsid w:val="00E34A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2">
    <w:name w:val="Medium List 2"/>
    <w:basedOn w:val="TableNormal"/>
    <w:uiPriority w:val="66"/>
    <w:rsid w:val="00D104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396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1124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303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303EC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517262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517262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517262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517262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517262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517262"/>
    <w:pPr>
      <w:spacing w:after="100"/>
      <w:ind w:left="176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nr.ro/Home.aspx" TargetMode="Externa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6.9897747156605419E-2"/>
          <c:y val="9.16766654168229E-2"/>
          <c:w val="0.71276599116082962"/>
          <c:h val="0.864265716785401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ținte anuale (±1 pp)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2.1183051757200861E-3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7.5</c:v>
                </c:pt>
                <c:pt idx="1">
                  <c:v>5</c:v>
                </c:pt>
                <c:pt idx="2">
                  <c:v>4</c:v>
                </c:pt>
                <c:pt idx="3">
                  <c:v>3.8</c:v>
                </c:pt>
                <c:pt idx="4">
                  <c:v>3.5</c:v>
                </c:pt>
                <c:pt idx="5">
                  <c:v>3.5</c:v>
                </c:pt>
                <c:pt idx="6">
                  <c:v>3</c:v>
                </c:pt>
                <c:pt idx="7">
                  <c:v>3</c:v>
                </c:pt>
                <c:pt idx="8">
                  <c:v>2.5</c:v>
                </c:pt>
                <c:pt idx="9">
                  <c:v>2.5</c:v>
                </c:pt>
                <c:pt idx="10">
                  <c:v>2.5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rata inflaţiei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</c:v>
                </c:pt>
                <c:pt idx="1">
                  <c:v>6.6</c:v>
                </c:pt>
                <c:pt idx="2">
                  <c:v>4.8</c:v>
                </c:pt>
                <c:pt idx="3">
                  <c:v>7.9</c:v>
                </c:pt>
                <c:pt idx="4">
                  <c:v>5.6</c:v>
                </c:pt>
                <c:pt idx="5">
                  <c:v>6.1</c:v>
                </c:pt>
                <c:pt idx="6">
                  <c:v>5.8</c:v>
                </c:pt>
                <c:pt idx="7">
                  <c:v>3.3</c:v>
                </c:pt>
                <c:pt idx="8">
                  <c:v>4</c:v>
                </c:pt>
                <c:pt idx="9">
                  <c:v>1.1000000000000001</c:v>
                </c:pt>
                <c:pt idx="10">
                  <c:v>-0.6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859328"/>
        <c:axId val="57136256"/>
        <c:axId val="0"/>
      </c:bar3DChart>
      <c:catAx>
        <c:axId val="63859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57136256"/>
        <c:crosses val="autoZero"/>
        <c:auto val="1"/>
        <c:lblAlgn val="ctr"/>
        <c:lblOffset val="100"/>
        <c:noMultiLvlLbl val="0"/>
      </c:catAx>
      <c:valAx>
        <c:axId val="571362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o-RO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4.930073501772949E-2"/>
              <c:y val="0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638593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185831029639685E-2"/>
          <c:y val="4.4057617797775277E-2"/>
          <c:w val="0.75421574694737481"/>
          <c:h val="0.7367094738157730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rata dobânzii de politică monetară</c:v>
                </c:pt>
              </c:strCache>
            </c:strRef>
          </c:tx>
          <c:spPr>
            <a:ln>
              <a:tailEnd type="stealth"/>
            </a:ln>
          </c:spPr>
          <c:marker>
            <c:symbol val="none"/>
          </c:marker>
          <c:cat>
            <c:strRef>
              <c:f>Sheet1!$A$2:$A$25</c:f>
              <c:strCache>
                <c:ptCount val="24"/>
                <c:pt idx="0">
                  <c:v>febr. 2010</c:v>
                </c:pt>
                <c:pt idx="1">
                  <c:v>mai. 2010</c:v>
                </c:pt>
                <c:pt idx="2">
                  <c:v>aug. 2010</c:v>
                </c:pt>
                <c:pt idx="3">
                  <c:v>nov. 2010</c:v>
                </c:pt>
                <c:pt idx="4">
                  <c:v>febr. 2011</c:v>
                </c:pt>
                <c:pt idx="5">
                  <c:v>mai. 2011</c:v>
                </c:pt>
                <c:pt idx="6">
                  <c:v>aug. 2011</c:v>
                </c:pt>
                <c:pt idx="7">
                  <c:v>nov. 2011</c:v>
                </c:pt>
                <c:pt idx="8">
                  <c:v>ian. 2012</c:v>
                </c:pt>
                <c:pt idx="9">
                  <c:v>febr. 2012</c:v>
                </c:pt>
                <c:pt idx="10">
                  <c:v>mai. 2013 </c:v>
                </c:pt>
                <c:pt idx="11">
                  <c:v>iul. 2013</c:v>
                </c:pt>
                <c:pt idx="12">
                  <c:v>aug. 2013</c:v>
                </c:pt>
                <c:pt idx="13">
                  <c:v>oct. 2013</c:v>
                </c:pt>
                <c:pt idx="14">
                  <c:v>nov. 2013</c:v>
                </c:pt>
                <c:pt idx="15">
                  <c:v>ian. 2014</c:v>
                </c:pt>
                <c:pt idx="16">
                  <c:v>febr. 2014</c:v>
                </c:pt>
                <c:pt idx="17">
                  <c:v>aug. 2014</c:v>
                </c:pt>
                <c:pt idx="18">
                  <c:v>oct. 2014</c:v>
                </c:pt>
                <c:pt idx="19">
                  <c:v>nov. 2014</c:v>
                </c:pt>
                <c:pt idx="20">
                  <c:v>ian. 2015</c:v>
                </c:pt>
                <c:pt idx="21">
                  <c:v>feb. 2015</c:v>
                </c:pt>
                <c:pt idx="22">
                  <c:v>apr. 2015</c:v>
                </c:pt>
                <c:pt idx="23">
                  <c:v>mai. 2015</c:v>
                </c:pt>
              </c:strCache>
            </c:strRef>
          </c:cat>
          <c:val>
            <c:numRef>
              <c:f>Sheet1!$B$2:$B$25</c:f>
              <c:numCache>
                <c:formatCode>General</c:formatCode>
                <c:ptCount val="24"/>
                <c:pt idx="0">
                  <c:v>7</c:v>
                </c:pt>
                <c:pt idx="1">
                  <c:v>6.25</c:v>
                </c:pt>
                <c:pt idx="2">
                  <c:v>6.25</c:v>
                </c:pt>
                <c:pt idx="3">
                  <c:v>6.25</c:v>
                </c:pt>
                <c:pt idx="4">
                  <c:v>6.25</c:v>
                </c:pt>
                <c:pt idx="5">
                  <c:v>6.25</c:v>
                </c:pt>
                <c:pt idx="6">
                  <c:v>6.25</c:v>
                </c:pt>
                <c:pt idx="7">
                  <c:v>6</c:v>
                </c:pt>
                <c:pt idx="8">
                  <c:v>5.75</c:v>
                </c:pt>
                <c:pt idx="9">
                  <c:v>5.5</c:v>
                </c:pt>
                <c:pt idx="10">
                  <c:v>5.25</c:v>
                </c:pt>
                <c:pt idx="11">
                  <c:v>5</c:v>
                </c:pt>
                <c:pt idx="12">
                  <c:v>4.5</c:v>
                </c:pt>
                <c:pt idx="13">
                  <c:v>4.25</c:v>
                </c:pt>
                <c:pt idx="14">
                  <c:v>4</c:v>
                </c:pt>
                <c:pt idx="15">
                  <c:v>3.75</c:v>
                </c:pt>
                <c:pt idx="16">
                  <c:v>3.5</c:v>
                </c:pt>
                <c:pt idx="17">
                  <c:v>3.25</c:v>
                </c:pt>
                <c:pt idx="18">
                  <c:v>3</c:v>
                </c:pt>
                <c:pt idx="19">
                  <c:v>2.75</c:v>
                </c:pt>
                <c:pt idx="20">
                  <c:v>2.5</c:v>
                </c:pt>
                <c:pt idx="21">
                  <c:v>2.25</c:v>
                </c:pt>
                <c:pt idx="22">
                  <c:v>2</c:v>
                </c:pt>
                <c:pt idx="23">
                  <c:v>1.75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988608"/>
        <c:axId val="57990144"/>
      </c:lineChart>
      <c:catAx>
        <c:axId val="57988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57990144"/>
        <c:crosses val="autoZero"/>
        <c:auto val="1"/>
        <c:lblAlgn val="ctr"/>
        <c:lblOffset val="100"/>
        <c:noMultiLvlLbl val="0"/>
      </c:catAx>
      <c:valAx>
        <c:axId val="579901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o-RO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variaţie anuală</a:t>
                </a:r>
                <a:r>
                  <a:rPr lang="ro-RO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(%)</a:t>
                </a:r>
                <a:endParaRPr lang="en-US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7988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270320681110564"/>
          <c:y val="0.30919478815148105"/>
          <c:w val="0.18519742763548044"/>
          <c:h val="0.27843582052243471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3A5-6C07-4687-BB02-48F7C6D1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5401</TotalTime>
  <Pages>7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Participarea Băncii Naționale a României în asigurarea macrostabilității și prudențialității bancare</vt:lpstr>
    </vt:vector>
  </TitlesOfParts>
  <Company/>
  <LinksUpToDate>false</LinksUpToDate>
  <CharactersWithSpaces>21926</CharactersWithSpaces>
  <SharedDoc>false</SharedDoc>
  <HLinks>
    <vt:vector size="186" baseType="variant">
      <vt:variant>
        <vt:i4>1900600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_Toc358661580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_Toc358661579</vt:lpwstr>
      </vt:variant>
      <vt:variant>
        <vt:i4>1179704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_Toc358661578</vt:lpwstr>
      </vt:variant>
      <vt:variant>
        <vt:i4>1179704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_Toc358661577</vt:lpwstr>
      </vt:variant>
      <vt:variant>
        <vt:i4>1179704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_Toc358661576</vt:lpwstr>
      </vt:variant>
      <vt:variant>
        <vt:i4>1179704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_Toc358661575</vt:lpwstr>
      </vt:variant>
      <vt:variant>
        <vt:i4>1179704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_Toc358661574</vt:lpwstr>
      </vt:variant>
      <vt:variant>
        <vt:i4>1179704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_Toc358661573</vt:lpwstr>
      </vt:variant>
      <vt:variant>
        <vt:i4>1179704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_Toc358661572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_Toc358661571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_Toc358661570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_Toc358661569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_Toc358661568</vt:lpwstr>
      </vt:variant>
      <vt:variant>
        <vt:i4>1245240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_Toc358661567</vt:lpwstr>
      </vt:variant>
      <vt:variant>
        <vt:i4>1245240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_Toc358661566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_Toc358661565</vt:lpwstr>
      </vt:variant>
      <vt:variant>
        <vt:i4>1245240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_Toc358661564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_Toc358661563</vt:lpwstr>
      </vt:variant>
      <vt:variant>
        <vt:i4>1245240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_Toc358661562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_Toc358661561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_Toc358661560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_Toc358661559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_Toc358661558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_Toc358661557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_Toc358661556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_Toc358661555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_Toc358661554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_Toc358661553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_Toc358661552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_Toc358661551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_Toc358661550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Participarea Băncii Naționale a României în asigurarea macrostabilității și prudențialității bancare</dc:title>
  <dc:creator>Raluca</dc:creator>
  <cp:lastModifiedBy>Raluca</cp:lastModifiedBy>
  <cp:revision>166</cp:revision>
  <cp:lastPrinted>2016-03-21T17:11:00Z</cp:lastPrinted>
  <dcterms:created xsi:type="dcterms:W3CDTF">2013-06-10T20:54:00Z</dcterms:created>
  <dcterms:modified xsi:type="dcterms:W3CDTF">2016-03-31T23:05:00Z</dcterms:modified>
</cp:coreProperties>
</file>